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7.png" ContentType="image/png"/>
  <Override PartName="/word/media/rId71.png" ContentType="image/png"/>
  <Override PartName="/word/media/rId75.png" ContentType="image/png"/>
  <Override PartName="/word/media/rId78.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27.png" ContentType="image/png"/>
  <Override PartName="/word/media/rId104.png" ContentType="image/png"/>
  <Override PartName="/word/media/rId123.png" ContentType="image/png"/>
  <Override PartName="/word/media/rId119.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45 of 51 families, lower energy is associated with higher mortality risk in at least half of basins. Among deceased patients in single-basin diseases, first and last basin assignments matched in a median of 96%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gene expression states (Sasai and Wolynes, 2003), and more recently to clinical comorbidity patterns (Masuda et al., 2025). However, existing clinical applications have typically analyzed single undifferentiated patient populations, where the resulting landscapes tend to reflect high-prevalence conditions rather than disease-specific comorbidity structure.</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A disease family was classified as satisfying the per-basin majority criterion if HR &lt; 1 (lower energy associated with higher hazard) held in at least half of its basins — including the case of exactly half. In 45 of 51 disease families, this criterion was satisfied for mortality. An analogous analysis using all-cause hospitalization as the endpoint yielded a consistent direction in 42 of 51 families (Figure S1).</w:t>
      </w:r>
    </w:p>
    <w:p>
      <w:pPr>
        <w:pStyle w:val="BodyText"/>
      </w:pPr>
      <w:r>
        <w:t xml:space="preserve">The six disease families that did not satisfy the mortality criterion were hip fracture (1 basin, 0/1 HR &lt; 1), liver cancer (3 basins, 0/3), lung cancer (1 basin, 0/1), pancreatic cancer (1 basin, 0/1), sepsis (3 basins, 0/3), and tuberculosis (1 basin, 0/1). These diseases tended to cluster in the region of low observation density, high terminality, or both (Figure 3), consistent with the hypothesis that ELA requires sufficient longitudinal comorbidity information to construct severity-aligned landscapes.</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7 diseases: acute renal failure, sepsis, delirium, aspiration pneumonia, pneumonia, malnutrition, and hip fracture. The remaining 43 diseases formed a broad Chronic/Lifestyle cluster. Within the Chronic/Lifestyle cluster, clinically coherent sub-clusters emerged without supervision (Figure S2): neurodegenerative diseases (dementia, epilepsy, Parkinson disease), prostate diseases (benign prostatic hyperplasia, prostate cancer), pulmonary fibrosis diseases (interstitial lung disease, lung cancer), and musculoskeletal diseases (osteoarthritis, osteoporosis),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96.2%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68%, with 31% moving to a different basin by the final observation. Exit from basins to non-basin states was rare (1–4%). Second, non-basin states are transient: among deceased patients starting outside a basin, a median of 60–70% ended in a basin (Figure 5c). Third, the fraction of patients remaining entirely outside basins throughout follow-up (Stable Non-Basin in Figure 5a) was consistently below 2%.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four axes: number of basins, direction of the energy–mortality association (per-basin majority criterion), monthly inter-basin transition rate among deceased patients, and transition asymmetry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(13 families): Single basin, energy associated with mortality in the expected direction. These diseases — including COPD, stroke, ischemic heart disease, and colorectal cancer — have a single stable comorbidity configuration with a clear severity gradient within it.</w:t>
      </w:r>
    </w:p>
    <w:p>
      <w:pPr>
        <w:pStyle w:val="BodyText"/>
      </w:pPr>
      <w:r>
        <w:rPr>
          <w:b/>
          <w:bCs/>
        </w:rPr>
        <w:t xml:space="preserve">Non-predictive</w:t>
      </w:r>
      <w:r>
        <w:t xml:space="preserve"> </w:t>
      </w:r>
      <w:r>
        <w:t xml:space="preserve">(4 families): Single basin, reversed energy–mortality association. Hip fracture, lung cancer, pancreatic cancer, and tuberculosis have a single basin in which lower energy is not associated with worse outcomes.</w:t>
      </w:r>
    </w:p>
    <w:p>
      <w:pPr>
        <w:pStyle w:val="BodyText"/>
      </w:pPr>
      <w:r>
        <w:rPr>
          <w:b/>
          <w:bCs/>
        </w:rPr>
        <w:t xml:space="preserve">Convergent</w:t>
      </w:r>
      <w:r>
        <w:t xml:space="preserve"> </w:t>
      </w:r>
      <w:r>
        <w:t xml:space="preserve">(15 families): Multiple basins with expected energy–mortality direction, moderate-to-high transition rates (5–11%/month), and moderate transition asymmetry (0.3–0.6). These diseases — including thyroid disorder, diabetes, and epilepsy — exhibit net directional flow between basins.</w:t>
      </w:r>
    </w:p>
    <w:p>
      <w:pPr>
        <w:pStyle w:val="BodyText"/>
      </w:pPr>
      <w:r>
        <w:rPr>
          <w:b/>
          <w:bCs/>
        </w:rPr>
        <w:t xml:space="preserve">Symmetric</w:t>
      </w:r>
      <w:r>
        <w:t xml:space="preserve"> </w:t>
      </w:r>
      <w:r>
        <w:t xml:space="preserve">(11 families): Multiple basins with expected energy–mortality direction, moderate-to-high transition rates, but low asymmetry (&lt;0.3). Dementia, heart failure, hypertension, CKD, and depression are examples: basins exchange patients at roughly equal rates.</w:t>
      </w:r>
    </w:p>
    <w:p>
      <w:pPr>
        <w:pStyle w:val="BodyText"/>
      </w:pPr>
      <w:r>
        <w:rPr>
          <w:b/>
          <w:bCs/>
        </w:rPr>
        <w:t xml:space="preserve">Progressive</w:t>
      </w:r>
      <w:r>
        <w:t xml:space="preserve"> </w:t>
      </w:r>
      <w:r>
        <w:t xml:space="preserve">(6 families): Multiple basins with expected energy–mortality direction, low transition rates (&lt;5%/month), and high asymmetry (&gt;0.6). Anemia, malignancy, and hematologic malignancy typify this pattern: inter-basin transitions are infrequent but strongly directional when they occur.</w:t>
      </w:r>
    </w:p>
    <w:p>
      <w:pPr>
        <w:pStyle w:val="BodyText"/>
      </w:pPr>
      <w:r>
        <w:rPr>
          <w:b/>
          <w:bCs/>
        </w:rPr>
        <w:t xml:space="preserve">Structured non-predictive</w:t>
      </w:r>
      <w:r>
        <w:t xml:space="preserve"> </w:t>
      </w:r>
      <w:r>
        <w:t xml:space="preserve">(2 families): Multiple basins, reversed energy–mortality association. Liver cancer and sepsis exhibit structured basin organization but the expected energy–outcome direction does not hold.</w:t>
      </w:r>
    </w:p>
    <w:p>
      <w:pPr>
        <w:pStyle w:val="BodyText"/>
      </w:pPr>
      <w:r>
        <w:t xml:space="preserve">The thresholds for transition rate and asymmetry summarize observed variation in the data and are not derived from optimization criteria. Some diseases fall near the boundaries (e.g., peptic ulcer has a transition rate of 6.6% but is classified as Progressive; delirium has 4.6% but is classified as Convergent).</w:t>
      </w:r>
    </w:p>
    <w:bookmarkEnd w:id="26"/>
    <w:bookmarkStart w:id="27" w:name="X530267e907f18210a8c5eeaf23024fb1b4babd4"/>
    <w:p>
      <w:pPr>
        <w:pStyle w:val="Heading3"/>
      </w:pPr>
      <w:r>
        <w:t xml:space="preserve">2.6 Thyroid disorder: a Convergent landscape with clinically interpretable basins</w:t>
      </w:r>
    </w:p>
    <w:p>
      <w:pPr>
        <w:pStyle w:val="FirstParagraph"/>
      </w:pPr>
      <w:r>
        <w:t xml:space="preserve">The thyroid disorder cohort (n = 2,026,922; ICD-10 E00–E07, covering the full spectrum of thyroid diseases) yielded four basins, exemplifying the Convergent pattern (Figure 6). Basin-specific comorbidity profiles, ranked by the log-odds difference score (Methods), revealed clinically interpretable structure.</w:t>
      </w:r>
    </w:p>
    <w:p>
      <w:pPr>
        <w:pStyle w:val="BodyText"/>
      </w:pPr>
      <w:r>
        <w:t xml:space="preserve">Basin 3 (n = 982,324) was characterized by codes related to chronic kidney disease and its complications: CKD stage 5 (N185; appearing in 1.8% of observation windows), hyperkalemia (E875; 4.0%), renal failure (N19; 7.7%), secondary hyperparathyroidism (E211; 2.2%), and chronic disease anemia (D638; 6.4%). Classic thyroid-associated symptoms — constipation (49.2% of observation windows) and xerosis cutis (22.7%) — were also highest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139,993) was characterized by dental codes (chronic periodontitis, 80.0%; dental caries, 34.9%), representing younger patients (mean age 61.8 years) with the lowest mortality (30.0%). Basin 2 (n = 120,160), by contrast, had the highest mortality (50.4%) at mean age 74.7 years, yielding a 20.4-percentage-point mortality gap — the largest across all 51 families (Figure 6b).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b0f7f807be5a1f5270d56040ea7406f3a9f333e"/>
    <w:p>
      <w:pPr>
        <w:pStyle w:val="Heading3"/>
      </w:pPr>
      <w:r>
        <w:t xml:space="preserve">2.7 Dementia: Symmetric pattern with mortality–hospitalization divergence</w:t>
      </w:r>
    </w:p>
    <w:p>
      <w:pPr>
        <w:pStyle w:val="FirstParagraph"/>
      </w:pPr>
      <w:r>
        <w:t xml:space="preserve">The dementia cohort (n = 929,951; ICD-10 F00–F03, G30) yielded two basins with a Symmetric transition pattern: Basin 1→2 transitions occurred at 5.7% per step and Basin 2→1 at 5.9% per step among deceased patients, indicating near-equal exchange (Figure 7; Figure 8a).</w:t>
      </w:r>
    </w:p>
    <w:p>
      <w:pPr>
        <w:pStyle w:val="BodyText"/>
      </w:pPr>
      <w:r>
        <w:t xml:space="preserve">Despite this symmetry, the two basins showed different comorbidity profiles and hospitalization patterns. Basin 1 (n = 498,636; mean age 83.0) was characterized by constipation (79%), xerosis cutis (39%), insomnia (47%), and heart failure (39%). Basin 2 (n = 434,649; mean age 80.8) was characterized by hypertension (78%), diabetes (48%), and hyperlipidemia (48%).</w:t>
      </w:r>
    </w:p>
    <w:p>
      <w:pPr>
        <w:pStyle w:val="BodyText"/>
      </w:pPr>
      <w:r>
        <w:t xml:space="preserve">Mortality was similar between the two basins (Basin 1: 49.3%; Basin 2: 53.9%; Figure 7a, left panel), with visually overlapping Kaplan–Meier curves despite a statistically significant log-rank test (p &lt; 0.0001, driven by the large sample size). Hospitalization rates, however, diverged substantially: 77.6% in Basin 1 versus 57.2% in Basin 2 (Figure 7a, right panel). The hospitalization rate here refers to the proportion of patients with at least one all-cause admission during the observation period. The Kaplan–Meier hospitalization panel in Figure 7a shows time to first admission. This mortality–hospitalization divergence suggests that the energy landscape captures dimensions of disease burden that are not fully aligned with terminal prognosis.</w:t>
      </w:r>
    </w:p>
    <w:p>
      <w:pPr>
        <w:pStyle w:val="BodyText"/>
      </w:pPr>
      <w:r>
        <w:t xml:space="preserve">The Symmetric classification indicates that the two comorbidity profiles exchange patients at approximately equal rates. Whether these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2,091,203) was large and characterized by CKD and dialysis-related codes (energy = −0.990), while Basin 3 (n = 46,809) was small and characterized by dental and mild comorbidity codes (energy = +0.146).</w:t>
      </w:r>
    </w:p>
    <w:p>
      <w:pPr>
        <w:pStyle w:val="BodyText"/>
      </w:pPr>
      <w:r>
        <w:t xml:space="preserve">Among deceased patients, the conditional probability of transitioning from Basin 3 to Basin 1 at each step was 22.6%, whereas the probability of Basin 1 to Basin 3 was 0.5% — a ratio of 42:1 in conditional transition probabilities. However, because Basin 1 is much larger (45× more patients), the absolute numbers of transitioning patients were comparable: 78,584 (Basin 3→1) versus 76,120 (Basin 1→3) transition events. The asymmetry in conditional probabilities therefore reflects the large difference in basin sizes rather than a net unidirectional flow of patients. The overall monthly transition rate was low (1.1%), and the mean transition asymmetry was 0.95 — the highest across all multi-basin diseases.</w:t>
      </w:r>
    </w:p>
    <w:p>
      <w:pPr>
        <w:pStyle w:val="BodyText"/>
      </w:pPr>
      <w:r>
        <w:t xml:space="preserve">To illustrate how transition dynamics vary across ELA behavioral patterns, Figure 8 compares the step-by-step transition matrices of three representative diseases: dementia (Symmetric, Figure 8a), thyroid disorder (Convergent, Figure 8b), and anemia (Progressive, Figure 8c). In dementia, the two basins exchange patients at near-equal rates (5.7% vs. 5.9%). In thyroid disorder, moderate asymmetry is apparent: Basin 2→1 (10.2%) exceeds Basin 1→2 (2.3%). In anemia, the conditional probability asymmetry is extreme (42:1) but the absolute transition counts are balanced.</w:t>
      </w:r>
    </w:p>
    <w:bookmarkEnd w:id="29"/>
    <w:bookmarkStart w:id="30" w:name="X8669716e312722f57a32ee72036bf9227e655a0"/>
    <w:p>
      <w:pPr>
        <w:pStyle w:val="Heading3"/>
      </w:pPr>
      <w:r>
        <w:t xml:space="preserve">2.9 Tuberculosis: Non-predictive pattern and ELA limitations</w:t>
      </w:r>
    </w:p>
    <w:p>
      <w:pPr>
        <w:pStyle w:val="FirstParagraph"/>
      </w:pPr>
      <w:r>
        <w:t xml:space="preserve">Tuberculosis illustrates the limitations of ELA for diseases with low observation density and acute presentation. The TB cohort (n = 424,627) yielded a single basin (Basin 1) with a reversed energy–mortality association (HR = 1.088; 95% CI 1.082–1.094), meaning that lower energy was associated with lower, not higher, mortality (Figure 9).</w:t>
      </w:r>
    </w:p>
    <w:p>
      <w:pPr>
        <w:pStyle w:val="BodyText"/>
      </w:pPr>
      <w:r>
        <w:t xml:space="preserve">Among deceased TB patients, 82.8% had trajectories classified as stable-in-basin (remaining in Basin 1 across all observed windows), while 3.3%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96% in single-basin diseases and 68% in diseases with 3–4 basins (Figure 5b). Non-basin states are transient, with 60–70% of patients starting outside basins ending in one. This temporal persistence supports the physical analogy underlying ELA — that basins represent locally stable states in a comorbidity energy landscape. The degree of inter-basin exchange varies by disease, from the balanced exchange of dementia’s Symmetric pattern to the highly asymmetric conditional transition probabilities of anemia’s Progressive pattern.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acute/frailty conditions — emerged without supervision, echoing disease groupings identified by network approaches using different data and methods (Hidalgo et al., 2009; Jensen et al., 2014).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45 of 51 families for mortality and 42 of 51 for hospitalization, suggesting that the energy–outcome direction is broadly consistent. The six families failing the mortality criterion include single-basin diseases with acute presentation or high lethality (hip fracture, lung cancer, pancreatic cancer, tuberculosis) and multi-basin diseases where no basin showed the expected direction (liver cancer, sepsis). This pattern is consistent with the interpretation that ELA requires sufficient longitudinal comorbidity information to construct severity-aligned landscapes.</w:t>
      </w:r>
    </w:p>
    <w:p>
      <w:pPr>
        <w:pStyle w:val="BodyText"/>
      </w:pPr>
      <w:r>
        <w:rPr>
          <w:b/>
          <w:bCs/>
        </w:rPr>
        <w:t xml:space="preserve">Mortality–hospitalization divergence.</w:t>
      </w:r>
      <w:r>
        <w:t xml:space="preserve"> </w:t>
      </w:r>
      <w:r>
        <w:t xml:space="preserve">The dementia case study (Figure 7) highlights that basins with similar mortality can differ substantially in hospitalization rates: 77.6% versus 57.2% all-cause admission rates despite a mortality difference of only 4.6 percentage points. Whether this reflects genuine differences in disease burden,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The outcome is either all-cause mortality or all-cause hospitalization. Time to event was calculated from coverage start to coverage end (death or censoring at end of observation).</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survminer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8592565.</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19073833.</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Hirose S, Wada H, Imai Y, Machida T, Shirouzu I, Konishi S, Miyashita Y, Masuda N.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102" w:name="figure-legends"/>
    <w:p>
      <w:pPr>
        <w:pStyle w:val="Heading2"/>
      </w:pPr>
      <w:r>
        <w:t xml:space="preserve">Figure legends</w:t>
      </w:r>
    </w:p>
    <w:p>
      <w:pPr>
        <w:pStyle w:val="CaptionedFigure"/>
      </w:pPr>
      <w:r>
        <w:drawing>
          <wp:inline>
            <wp:extent cx="5334000" cy="3556000"/>
            <wp:effectExtent b="0" l="0" r="0" t="0"/>
            <wp:docPr descr="Figure 1" title="" id="52" name="Picture"/>
            <a:graphic>
              <a:graphicData uri="http://schemas.openxmlformats.org/drawingml/2006/picture">
                <pic:pic>
                  <pic:nvPicPr>
                    <pic:cNvPr descr="../../plot/Figures/Fig01/Fig01_workflow.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bookmarkStart w:id="66"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45 of 51 families for mortality and 42 of 51 for hospitalization.</w:t>
      </w:r>
    </w:p>
    <w:p>
      <w:pPr>
        <w:pStyle w:val="CaptionedFigure"/>
      </w:pPr>
      <w:r>
        <w:drawing>
          <wp:inline>
            <wp:extent cx="5334000" cy="4572000"/>
            <wp:effectExtent b="0" l="0" r="0" t="0"/>
            <wp:docPr descr="Figure 2a" title="" id="55" name="Picture"/>
            <a:graphic>
              <a:graphicData uri="http://schemas.openxmlformats.org/drawingml/2006/picture">
                <pic:pic>
                  <pic:nvPicPr>
                    <pic:cNvPr descr="../../plot/Figures/Fig02/Fig02a_diabetes_PC1_PC2_age.png" id="56" name="Picture"/>
                    <pic:cNvPicPr>
                      <a:picLocks noChangeArrowheads="1" noChangeAspect="1"/>
                    </pic:cNvPicPr>
                  </pic:nvPicPr>
                  <pic:blipFill>
                    <a:blip r:embed="rId54"/>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2a</w:t>
      </w:r>
    </w:p>
    <w:p>
      <w:pPr>
        <w:pStyle w:val="CaptionedFigure"/>
      </w:pPr>
      <w:r>
        <w:drawing>
          <wp:inline>
            <wp:extent cx="5334000" cy="4572000"/>
            <wp:effectExtent b="0" l="0" r="0" t="0"/>
            <wp:docPr descr="Figure 2b" title="" id="58" name="Picture"/>
            <a:graphic>
              <a:graphicData uri="http://schemas.openxmlformats.org/drawingml/2006/picture">
                <pic:pic>
                  <pic:nvPicPr>
                    <pic:cNvPr descr="../../plot/Figures/Fig02/Fig02b_uti_PC1_PC7_sex.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2b</w:t>
      </w:r>
    </w:p>
    <w:p>
      <w:pPr>
        <w:pStyle w:val="CaptionedFigure"/>
      </w:pPr>
      <w:r>
        <w:drawing>
          <wp:inline>
            <wp:extent cx="5334000" cy="4572000"/>
            <wp:effectExtent b="0" l="0" r="0" t="0"/>
            <wp:docPr descr="Figure 2c" title="" id="61" name="Picture"/>
            <a:graphic>
              <a:graphicData uri="http://schemas.openxmlformats.org/drawingml/2006/picture">
                <pic:pic>
                  <pic:nvPicPr>
                    <pic:cNvPr descr="../../plot/Figures/Fig02/Fig02c_cumulative_variance.png" id="62" name="Picture"/>
                    <pic:cNvPicPr>
                      <a:picLocks noChangeArrowheads="1" noChangeAspect="1"/>
                    </pic:cNvPicPr>
                  </pic:nvPicPr>
                  <pic:blipFill>
                    <a:blip r:embed="rId60"/>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2c</w:t>
      </w:r>
    </w:p>
    <w:p>
      <w:pPr>
        <w:pStyle w:val="CaptionedFigure"/>
      </w:pPr>
      <w:r>
        <w:drawing>
          <wp:inline>
            <wp:extent cx="5334000" cy="8001000"/>
            <wp:effectExtent b="0" l="0" r="0" t="0"/>
            <wp:docPr descr="Figure 2d" title="" id="64" name="Picture"/>
            <a:graphic>
              <a:graphicData uri="http://schemas.openxmlformats.org/drawingml/2006/picture">
                <pic:pic>
                  <pic:nvPicPr>
                    <pic:cNvPr descr="../../plot/Figures/Fig02/Fig02d_pc_correlation_vertical.png" id="65" name="Picture"/>
                    <pic:cNvPicPr>
                      <a:picLocks noChangeArrowheads="1" noChangeAspect="1"/>
                    </pic:cNvPicPr>
                  </pic:nvPicPr>
                  <pic:blipFill>
                    <a:blip r:embed="rId6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2d</w:t>
      </w:r>
    </w:p>
    <w:bookmarkEnd w:id="66"/>
    <w:bookmarkStart w:id="70"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p>
      <w:pPr>
        <w:pStyle w:val="CaptionedFigure"/>
      </w:pPr>
      <w:r>
        <w:drawing>
          <wp:inline>
            <wp:extent cx="5334000" cy="3810000"/>
            <wp:effectExtent b="0" l="0" r="0" t="0"/>
            <wp:docPr descr="Figure 3" title="" id="68" name="Picture"/>
            <a:graphic>
              <a:graphicData uri="http://schemas.openxmlformats.org/drawingml/2006/picture">
                <pic:pic>
                  <pic:nvPicPr>
                    <pic:cNvPr descr="../../plot/Figures/Fig03/Fig03_atlas_overview.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3</w:t>
      </w:r>
    </w:p>
    <w:bookmarkEnd w:id="70"/>
    <w:bookmarkStart w:id="74"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45 of 51 disease families.</w:t>
      </w:r>
    </w:p>
    <w:p>
      <w:pPr>
        <w:pStyle w:val="CaptionedFigure"/>
      </w:pPr>
      <w:r>
        <w:drawing>
          <wp:inline>
            <wp:extent cx="5334000" cy="3040183"/>
            <wp:effectExtent b="0" l="0" r="0" t="0"/>
            <wp:docPr descr="Figure 4" title="" id="72" name="Picture"/>
            <a:graphic>
              <a:graphicData uri="http://schemas.openxmlformats.org/drawingml/2006/picture">
                <pic:pic>
                  <pic:nvPicPr>
                    <pic:cNvPr descr="../../plot/Figures/Fig04/Fig04_jaccard_clustering.png" id="73" name="Picture"/>
                    <pic:cNvPicPr>
                      <a:picLocks noChangeArrowheads="1" noChangeAspect="1"/>
                    </pic:cNvPicPr>
                  </pic:nvPicPr>
                  <pic:blipFill>
                    <a:blip r:embed="rId71"/>
                    <a:stretch>
                      <a:fillRect/>
                    </a:stretch>
                  </pic:blipFill>
                  <pic:spPr bwMode="auto">
                    <a:xfrm>
                      <a:off x="0" y="0"/>
                      <a:ext cx="5334000" cy="3040183"/>
                    </a:xfrm>
                    <a:prstGeom prst="rect">
                      <a:avLst/>
                    </a:prstGeom>
                    <a:noFill/>
                    <a:ln w="9525">
                      <a:noFill/>
                      <a:headEnd/>
                      <a:tailEnd/>
                    </a:ln>
                  </pic:spPr>
                </pic:pic>
              </a:graphicData>
            </a:graphic>
          </wp:inline>
        </w:drawing>
      </w:r>
    </w:p>
    <w:p>
      <w:pPr>
        <w:pStyle w:val="ImageCaption"/>
      </w:pPr>
      <w:r>
        <w:t xml:space="preserve">Figure 4</w:t>
      </w:r>
    </w:p>
    <w:bookmarkEnd w:id="74"/>
    <w:bookmarkStart w:id="8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(7 diseases) and a broad Chronic/Lifestyle cluster (43 diseases). Within the Chronic/Lifestyle cluster, clinically coherent sub-clusters emerge without supervision.</w:t>
      </w:r>
    </w:p>
    <w:p>
      <w:pPr>
        <w:pStyle w:val="CaptionedFigure"/>
      </w:pPr>
      <w:r>
        <w:drawing>
          <wp:inline>
            <wp:extent cx="5334000" cy="3048000"/>
            <wp:effectExtent b="0" l="0" r="0" t="0"/>
            <wp:docPr descr="Figure 5a" title="" id="76" name="Picture"/>
            <a:graphic>
              <a:graphicData uri="http://schemas.openxmlformats.org/drawingml/2006/picture">
                <pic:pic>
                  <pic:nvPicPr>
                    <pic:cNvPr descr="../../plot/Figures/Fig05/Fig05a_trajectory_overview.png" id="77" name="Picture"/>
                    <pic:cNvPicPr>
                      <a:picLocks noChangeArrowheads="1" noChangeAspect="1"/>
                    </pic:cNvPicPr>
                  </pic:nvPicPr>
                  <pic:blipFill>
                    <a:blip r:embed="rId7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5a</w:t>
      </w:r>
    </w:p>
    <w:p>
      <w:pPr>
        <w:pStyle w:val="CaptionedFigure"/>
      </w:pPr>
      <w:r>
        <w:drawing>
          <wp:inline>
            <wp:extent cx="5334000" cy="3048000"/>
            <wp:effectExtent b="0" l="0" r="0" t="0"/>
            <wp:docPr descr="Figure 5b" title="" id="79" name="Picture"/>
            <a:graphic>
              <a:graphicData uri="http://schemas.openxmlformats.org/drawingml/2006/picture">
                <pic:pic>
                  <pic:nvPicPr>
                    <pic:cNvPr descr="../../plot/Figures/Fig05/Fig05b_trajectory_basin_start.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5b</w:t>
      </w:r>
    </w:p>
    <w:p>
      <w:pPr>
        <w:pStyle w:val="CaptionedFigure"/>
      </w:pPr>
      <w:r>
        <w:drawing>
          <wp:inline>
            <wp:extent cx="5334000" cy="3048000"/>
            <wp:effectExtent b="0" l="0" r="0" t="0"/>
            <wp:docPr descr="Figure 5c" title="" id="82" name="Picture"/>
            <a:graphic>
              <a:graphicData uri="http://schemas.openxmlformats.org/drawingml/2006/picture">
                <pic:pic>
                  <pic:nvPicPr>
                    <pic:cNvPr descr="../../plot/Figures/Fig05/Fig05c_trajectory_nonbasin_start.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5c</w:t>
      </w:r>
    </w:p>
    <w:bookmarkEnd w:id="84"/>
    <w:bookmarkStart w:id="88"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86% remain in the same basin throughout follow-up; in 2+ basin diseases, roughly half undergo state transitions. Stable Non-Basin accounts for less than 2%. (b) Among deceased patients starting in a basin, a median of 96.2% had the same basin at first and last observation in 1-basin diseases; this drops to approximately 68% in 3–4 basin diseases, where 31% move to a different basin. This is an endpoint comparison that permits intermediate departures and returns. (c) Among deceased patients starting outside a basin, a median of 60–70% ended in a basin. n = 24 for the 2-basin group, as 2 of 26 two-basin families had no non-basin-starting deceased patients.</w:t>
      </w:r>
    </w:p>
    <w:p>
      <w:pPr>
        <w:pStyle w:val="CaptionedFigure"/>
      </w:pPr>
      <w:r>
        <w:drawing>
          <wp:inline>
            <wp:extent cx="5334000" cy="3468065"/>
            <wp:effectExtent b="0" l="0" r="0" t="0"/>
            <wp:docPr descr="Figure 6" title="" id="86" name="Picture"/>
            <a:graphic>
              <a:graphicData uri="http://schemas.openxmlformats.org/drawingml/2006/picture">
                <pic:pic>
                  <pic:nvPicPr>
                    <pic:cNvPr descr="../../plot/Figures/Fig06/Fig06_thyroid.png" id="87" name="Picture"/>
                    <pic:cNvPicPr>
                      <a:picLocks noChangeArrowheads="1" noChangeAspect="1"/>
                    </pic:cNvPicPr>
                  </pic:nvPicPr>
                  <pic:blipFill>
                    <a:blip r:embed="rId85"/>
                    <a:stretch>
                      <a:fillRect/>
                    </a:stretch>
                  </pic:blipFill>
                  <pic:spPr bwMode="auto">
                    <a:xfrm>
                      <a:off x="0" y="0"/>
                      <a:ext cx="5334000" cy="3468065"/>
                    </a:xfrm>
                    <a:prstGeom prst="rect">
                      <a:avLst/>
                    </a:prstGeom>
                    <a:noFill/>
                    <a:ln w="9525">
                      <a:noFill/>
                      <a:headEnd/>
                      <a:tailEnd/>
                    </a:ln>
                  </pic:spPr>
                </pic:pic>
              </a:graphicData>
            </a:graphic>
          </wp:inline>
        </w:drawing>
      </w:r>
    </w:p>
    <w:p>
      <w:pPr>
        <w:pStyle w:val="ImageCaption"/>
      </w:pPr>
      <w:r>
        <w:t xml:space="preserve">Figure 6</w:t>
      </w:r>
    </w:p>
    <w:bookmarkEnd w:id="88"/>
    <w:bookmarkStart w:id="92" w:name="X5f7e47cbf0aba9503ca5e7e8291d2806e409e22"/>
    <w:p>
      <w:pPr>
        <w:pStyle w:val="Heading3"/>
      </w:pPr>
      <w:r>
        <w:t xml:space="preserve">Figure 6. Thyroid disorder energy landscape with clinically interpretable basins (Convergent pattern).</w:t>
      </w:r>
    </w:p>
    <w:p>
      <w:pPr>
        <w:pStyle w:val="Compact"/>
        <w:numPr>
          <w:ilvl w:val="0"/>
          <w:numId w:val="1007"/>
        </w:numPr>
      </w:pPr>
      <w:r>
        <w:t xml:space="preserve">Top 10 comorbidity codes in Basin 3 (n = 982,324) and Basin 4 (n = 139,993),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80.0%, dental caries 34.9%), representing younger patients with active dental care. (b) Kaplan–Meier survival curves for all four basins. Basin 2 (death rate 50.4%, mean age 74.7) and Basin 4 (death rate 30.0%, mean age 61.8) show a 20.4-percentage-point mortality gap, the largest across all 51 families. (c) Disconnectivity graph. Basin 1 and Basin 3 merge at the lowest connection energy (E = −0.68), indicating energetic adjacency. (d) Temporal basin composition among deceased patients at successive observation positions before the last retained record.</w:t>
      </w:r>
    </w:p>
    <w:p>
      <w:pPr>
        <w:pStyle w:val="CaptionedFigure"/>
      </w:pPr>
      <w:r>
        <w:drawing>
          <wp:inline>
            <wp:extent cx="5334000" cy="2333624"/>
            <wp:effectExtent b="0" l="0" r="0" t="0"/>
            <wp:docPr descr="Figure 7" title="" id="90" name="Picture"/>
            <a:graphic>
              <a:graphicData uri="http://schemas.openxmlformats.org/drawingml/2006/picture">
                <pic:pic>
                  <pic:nvPicPr>
                    <pic:cNvPr descr="../../plot/Figures/Fig07/Fig07a_dementia_paired_km.png" id="91" name="Picture"/>
                    <pic:cNvPicPr>
                      <a:picLocks noChangeArrowheads="1" noChangeAspect="1"/>
                    </pic:cNvPicPr>
                  </pic:nvPicPr>
                  <pic:blipFill>
                    <a:blip r:embed="rId89"/>
                    <a:stretch>
                      <a:fillRect/>
                    </a:stretch>
                  </pic:blipFill>
                  <pic:spPr bwMode="auto">
                    <a:xfrm>
                      <a:off x="0" y="0"/>
                      <a:ext cx="5334000" cy="2333624"/>
                    </a:xfrm>
                    <a:prstGeom prst="rect">
                      <a:avLst/>
                    </a:prstGeom>
                    <a:noFill/>
                    <a:ln w="9525">
                      <a:noFill/>
                      <a:headEnd/>
                      <a:tailEnd/>
                    </a:ln>
                  </pic:spPr>
                </pic:pic>
              </a:graphicData>
            </a:graphic>
          </wp:inline>
        </w:drawing>
      </w:r>
    </w:p>
    <w:p>
      <w:pPr>
        <w:pStyle w:val="ImageCaption"/>
      </w:pPr>
      <w:r>
        <w:t xml:space="preserve">Figure 7</w:t>
      </w:r>
    </w:p>
    <w:bookmarkEnd w:id="92"/>
    <w:bookmarkStart w:id="96" w:name="X97232e089431916b7af492d2fabb4e94f97218f"/>
    <w:p>
      <w:pPr>
        <w:pStyle w:val="Heading3"/>
      </w:pPr>
      <w:r>
        <w:t xml:space="preserve">Figure 7. Dementia — similar mortality but divergent hospitalization between two basins (Symmetric pattern).</w:t>
      </w:r>
    </w:p>
    <w:p>
      <w:pPr>
        <w:pStyle w:val="Compact"/>
        <w:numPr>
          <w:ilvl w:val="0"/>
          <w:numId w:val="1008"/>
        </w:numPr>
      </w:pPr>
      <w:r>
        <w:t xml:space="preserve">Kaplan–Meier curves for mortality (left) and all-cause hospitalization (right) in the dementia cohort (n = 929,951), stratified by basin. The two basins show similar mortality (Basin 1: 49.3%, Basin 2: 53.9%) but different hospitalization patterns (Basin 1: 77.6%, Basin 2: 57.2% all-cause admission rate). Basin 1 (mean age 83.0) is associated with constipation, xerosis cutis, insomnia, and heart failure codes. Basin 2 (mean age 80.8) is associated with hypertension, diabetes, and hyperlipidemia codes. Transition rates between basins among deceased patients are near-symmetric (5.7% vs. 5.9% per step). The hospitalization panel shows Kaplan–Meier curves for time to first all-cause admission, with censoring at the end of the observation period for patients without an admission.</w:t>
      </w:r>
    </w:p>
    <w:p>
      <w:pPr>
        <w:pStyle w:val="CaptionedFigure"/>
      </w:pPr>
      <w:r>
        <w:drawing>
          <wp:inline>
            <wp:extent cx="5334000" cy="1939636"/>
            <wp:effectExtent b="0" l="0" r="0" t="0"/>
            <wp:docPr descr="Figure 8" title="" id="94" name="Picture"/>
            <a:graphic>
              <a:graphicData uri="http://schemas.openxmlformats.org/drawingml/2006/picture">
                <pic:pic>
                  <pic:nvPicPr>
                    <pic:cNvPr descr="../../plot/Figures/Fig08/Fig08_anemia.png" id="95" name="Picture"/>
                    <pic:cNvPicPr>
                      <a:picLocks noChangeArrowheads="1" noChangeAspect="1"/>
                    </pic:cNvPicPr>
                  </pic:nvPicPr>
                  <pic:blipFill>
                    <a:blip r:embed="rId93"/>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Figure 8</w:t>
      </w:r>
    </w:p>
    <w:bookmarkEnd w:id="96"/>
    <w:bookmarkStart w:id="100"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(Symmetric): Basin 1→2 = 5.7%, Basin 2→1 = 5.9%, near-symmetric exchange. (b) Thyroid disorder (Convergent): 4×4 matrix with moderate asymmetry; Basin 2→1 (10.2%) exceeds Basin 1→2 (2.3%). (c) Anemia (Progressive): Basin 3→1 = 22.6% vs. Basin 1→3 = 0.5%, a 42:1 ratio in conditional transition probabilities. The absolute transition counts are comparable (78,584 vs. 76,120) because Basin 1 is much larger than Basin 3.</w:t>
      </w:r>
    </w:p>
    <w:p>
      <w:pPr>
        <w:pStyle w:val="CaptionedFigure"/>
      </w:pPr>
      <w:r>
        <w:drawing>
          <wp:inline>
            <wp:extent cx="5334000" cy="3114697"/>
            <wp:effectExtent b="0" l="0" r="0" t="0"/>
            <wp:docPr descr="Figure 9" title="" id="98" name="Picture"/>
            <a:graphic>
              <a:graphicData uri="http://schemas.openxmlformats.org/drawingml/2006/picture">
                <pic:pic>
                  <pic:nvPicPr>
                    <pic:cNvPr descr="../../plot/Figures/Fig09/Fig09_tuberculosis.png" id="99" name="Picture"/>
                    <pic:cNvPicPr>
                      <a:picLocks noChangeArrowheads="1" noChangeAspect="1"/>
                    </pic:cNvPicPr>
                  </pic:nvPicPr>
                  <pic:blipFill>
                    <a:blip r:embed="rId97"/>
                    <a:stretch>
                      <a:fillRect/>
                    </a:stretch>
                  </pic:blipFill>
                  <pic:spPr bwMode="auto">
                    <a:xfrm>
                      <a:off x="0" y="0"/>
                      <a:ext cx="5334000" cy="3114697"/>
                    </a:xfrm>
                    <a:prstGeom prst="rect">
                      <a:avLst/>
                    </a:prstGeom>
                    <a:noFill/>
                    <a:ln w="9525">
                      <a:noFill/>
                      <a:headEnd/>
                      <a:tailEnd/>
                    </a:ln>
                  </pic:spPr>
                </pic:pic>
              </a:graphicData>
            </a:graphic>
          </wp:inline>
        </w:drawing>
      </w:r>
    </w:p>
    <w:p>
      <w:pPr>
        <w:pStyle w:val="ImageCaption"/>
      </w:pPr>
      <w:r>
        <w:t xml:space="preserve">Figure 9</w:t>
      </w:r>
    </w:p>
    <w:bookmarkEnd w:id="100"/>
    <w:bookmarkStart w:id="101" w:name="X50f3aa3155975798101fdad5bd846cf28ead72c"/>
    <w:p>
      <w:pPr>
        <w:pStyle w:val="Heading3"/>
      </w:pPr>
      <w:r>
        <w:t xml:space="preserve">Figure 9. Tuberculosis — ELA limitations for low-density single-basin diseases (Non-predictive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Cox analysis yields HR = 1.088 (95% CI: 1.082–1.094),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101"/>
    <w:bookmarkEnd w:id="102"/>
    <w:bookmarkStart w:id="103"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485"/>
        <w:gridCol w:w="1320"/>
        <w:gridCol w:w="825"/>
        <w:gridCol w:w="990"/>
        <w:gridCol w:w="1155"/>
        <w:gridCol w:w="495"/>
        <w:gridCol w:w="1650"/>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Rate</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Pred</w:t>
            </w:r>
          </w:p>
        </w:tc>
        <w:tc>
          <w:tcPr/>
          <w:p>
            <w:pPr>
              <w:pStyle w:val="Compact"/>
            </w:pPr>
            <w:r>
              <w:t xml:space="preserve">—</w:t>
            </w:r>
          </w:p>
        </w:tc>
        <w:tc>
          <w:tcPr/>
          <w:p>
            <w:pPr>
              <w:pStyle w:val="Compact"/>
            </w:pPr>
            <w:r>
              <w:t xml:space="preserve">—</w:t>
            </w:r>
          </w:p>
        </w:tc>
        <w:tc>
          <w:tcPr/>
          <w:p>
            <w:pPr>
              <w:pStyle w:val="Compact"/>
            </w:pPr>
            <w:r>
              <w:t xml:space="preserve">13</w:t>
            </w:r>
          </w:p>
        </w:tc>
        <w:tc>
          <w:tcPr/>
          <w:p>
            <w:pPr>
              <w:pStyle w:val="Compact"/>
            </w:pPr>
            <w:r>
              <w:t xml:space="preserve">Autoimmune conn. tissue, Breast ca., Cirrhosis, Colorectal ca., COPD, Gout, ILD, IHD, Liver disease, Metastatic ca., Obesity, Stomach ca., Stroke</w:t>
            </w:r>
          </w:p>
        </w:tc>
      </w:tr>
      <w:tr>
        <w:tc>
          <w:tcPr/>
          <w:p>
            <w:pPr>
              <w:pStyle w:val="Compact"/>
            </w:pPr>
            <w:r>
              <w:t xml:space="preserve">Non-predictive</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Hip fracture, Lung ca., Pancreatic ca., TB</w:t>
            </w:r>
          </w:p>
        </w:tc>
      </w:tr>
      <w:tr>
        <w:tc>
          <w:tcPr/>
          <w:p>
            <w:pPr>
              <w:pStyle w:val="Compact"/>
            </w:pPr>
            <w:r>
              <w:t xml:space="preserve">Progressive</w:t>
            </w:r>
          </w:p>
        </w:tc>
        <w:tc>
          <w:tcPr/>
          <w:p>
            <w:pPr>
              <w:pStyle w:val="Compact"/>
            </w:pPr>
            <w:r>
              <w:t xml:space="preserve">Multi</w:t>
            </w:r>
          </w:p>
        </w:tc>
        <w:tc>
          <w:tcPr/>
          <w:p>
            <w:pPr>
              <w:pStyle w:val="Compact"/>
            </w:pPr>
            <w:r>
              <w:t xml:space="preserve">Pred</w:t>
            </w:r>
          </w:p>
        </w:tc>
        <w:tc>
          <w:tcPr/>
          <w:p>
            <w:pPr>
              <w:pStyle w:val="Compact"/>
            </w:pPr>
            <w:r>
              <w:t xml:space="preserve">&lt;5%</w:t>
            </w:r>
          </w:p>
        </w:tc>
        <w:tc>
          <w:tcPr/>
          <w:p>
            <w:pPr>
              <w:pStyle w:val="Compact"/>
            </w:pPr>
            <w:r>
              <w:t xml:space="preserve">&gt;0.6</w:t>
            </w:r>
          </w:p>
        </w:tc>
        <w:tc>
          <w:tcPr/>
          <w:p>
            <w:pPr>
              <w:pStyle w:val="Compact"/>
            </w:pPr>
            <w:r>
              <w:t xml:space="preserve">6</w:t>
            </w:r>
          </w:p>
        </w:tc>
        <w:tc>
          <w:tcPr/>
          <w:p>
            <w:pPr>
              <w:pStyle w:val="Compact"/>
            </w:pPr>
            <w:r>
              <w:t xml:space="preserve">Anemia, Hem. malignancy, IBD, Malignancy, Peptic ulcer, UTI</w:t>
            </w:r>
          </w:p>
        </w:tc>
      </w:tr>
      <w:tr>
        <w:tc>
          <w:tcPr/>
          <w:p>
            <w:pPr>
              <w:pStyle w:val="Compact"/>
            </w:pPr>
            <w:r>
              <w:t xml:space="preserve">Convergent</w:t>
            </w:r>
          </w:p>
        </w:tc>
        <w:tc>
          <w:tcPr/>
          <w:p>
            <w:pPr>
              <w:pStyle w:val="Compact"/>
            </w:pPr>
            <w:r>
              <w:t xml:space="preserve">Multi</w:t>
            </w:r>
          </w:p>
        </w:tc>
        <w:tc>
          <w:tcPr/>
          <w:p>
            <w:pPr>
              <w:pStyle w:val="Compact"/>
            </w:pPr>
            <w:r>
              <w:t xml:space="preserve">Pred</w:t>
            </w:r>
          </w:p>
        </w:tc>
        <w:tc>
          <w:tcPr/>
          <w:p>
            <w:pPr>
              <w:pStyle w:val="Compact"/>
            </w:pPr>
            <w:r>
              <w:t xml:space="preserve">5–11%</w:t>
            </w:r>
          </w:p>
        </w:tc>
        <w:tc>
          <w:tcPr/>
          <w:p>
            <w:pPr>
              <w:pStyle w:val="Compact"/>
            </w:pPr>
            <w:r>
              <w:t xml:space="preserve">0.3–0.6</w:t>
            </w:r>
          </w:p>
        </w:tc>
        <w:tc>
          <w:tcPr/>
          <w:p>
            <w:pPr>
              <w:pStyle w:val="Compact"/>
            </w:pPr>
            <w:r>
              <w:t xml:space="preserve">15</w:t>
            </w:r>
          </w:p>
        </w:tc>
        <w:tc>
          <w:tcPr/>
          <w:p>
            <w:pPr>
              <w:pStyle w:val="Compact"/>
            </w:pPr>
            <w:r>
              <w:t xml:space="preserve">Asp. pneumonia, AF, BPH, Delirium, Diabetes, Epilepsy, Malnutrition, OA, Osteoporosis, Pneumonia, RA, Schizophrenia, Sleep disorders, Thyroid, Viral hepatitis</w:t>
            </w:r>
          </w:p>
        </w:tc>
      </w:tr>
      <w:tr>
        <w:tc>
          <w:tcPr/>
          <w:p>
            <w:pPr>
              <w:pStyle w:val="Compact"/>
            </w:pPr>
            <w:r>
              <w:t xml:space="preserve">Symmetric</w:t>
            </w:r>
          </w:p>
        </w:tc>
        <w:tc>
          <w:tcPr/>
          <w:p>
            <w:pPr>
              <w:pStyle w:val="Compact"/>
            </w:pPr>
            <w:r>
              <w:t xml:space="preserve">Multi</w:t>
            </w:r>
          </w:p>
        </w:tc>
        <w:tc>
          <w:tcPr/>
          <w:p>
            <w:pPr>
              <w:pStyle w:val="Compact"/>
            </w:pPr>
            <w:r>
              <w:t xml:space="preserve">Pred</w:t>
            </w:r>
          </w:p>
        </w:tc>
        <w:tc>
          <w:tcPr/>
          <w:p>
            <w:pPr>
              <w:pStyle w:val="Compact"/>
            </w:pPr>
            <w:r>
              <w:t xml:space="preserve">5–10%</w:t>
            </w:r>
          </w:p>
        </w:tc>
        <w:tc>
          <w:tcPr/>
          <w:p>
            <w:pPr>
              <w:pStyle w:val="Compact"/>
            </w:pPr>
            <w:r>
              <w:t xml:space="preserve">&lt;0.3</w:t>
            </w:r>
          </w:p>
        </w:tc>
        <w:tc>
          <w:tcPr/>
          <w:p>
            <w:pPr>
              <w:pStyle w:val="Compact"/>
            </w:pPr>
            <w:r>
              <w:t xml:space="preserve">11</w:t>
            </w:r>
          </w:p>
        </w:tc>
        <w:tc>
          <w:tcPr/>
          <w:p>
            <w:pPr>
              <w:pStyle w:val="Compact"/>
            </w:pPr>
            <w:r>
              <w:t xml:space="preserve">AKI, Anxiety, Asthma, CKD, Dementia, Depression, Dyslipidemia, Heart failure, HTN, Parkinson, Prostate ca.</w:t>
            </w:r>
          </w:p>
        </w:tc>
      </w:tr>
      <w:tr>
        <w:tc>
          <w:tcPr/>
          <w:p>
            <w:pPr>
              <w:pStyle w:val="Compact"/>
            </w:pPr>
            <w:r>
              <w:t xml:space="preserve">Str. non-pred.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Any</w:t>
            </w:r>
          </w:p>
        </w:tc>
        <w:tc>
          <w:tcPr/>
          <w:p>
            <w:pPr>
              <w:pStyle w:val="Compact"/>
            </w:pPr>
            <w:r>
              <w:t xml:space="preserve">2</w:t>
            </w:r>
          </w:p>
        </w:tc>
        <w:tc>
          <w:tcPr/>
          <w:p>
            <w:pPr>
              <w:pStyle w:val="Compact"/>
            </w:pPr>
            <w:r>
              <w:t xml:space="preserve">Liver ca., Sepsis</w:t>
            </w:r>
          </w:p>
        </w:tc>
      </w:tr>
    </w:tbl>
    <w:p>
      <w:pPr>
        <w:pStyle w:val="BodyText"/>
      </w:pPr>
      <w:r>
        <w:t xml:space="preserve">Abbreviations: Pred = Predictive (HR &lt; 1 in ≥ half of basins); Rev = Reversed; Rate = monthly inter-basin transition rate; Asym. = mean pairwise transition asymmetry;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non-pred. = Structured non-predictive; TB = tuberculosis.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103"/>
    <w:bookmarkStart w:id="135" w:name="supplementary-figure-legends"/>
    <w:p>
      <w:pPr>
        <w:pStyle w:val="Heading2"/>
      </w:pPr>
      <w:r>
        <w:t xml:space="preserve">Supplementary figure legends</w:t>
      </w:r>
    </w:p>
    <w:p>
      <w:pPr>
        <w:pStyle w:val="CaptionedFigure"/>
      </w:pPr>
      <w:r>
        <w:drawing>
          <wp:inline>
            <wp:extent cx="5334000" cy="3810000"/>
            <wp:effectExtent b="0" l="0" r="0" t="0"/>
            <wp:docPr descr="Figure S1" title="" id="105" name="Picture"/>
            <a:graphic>
              <a:graphicData uri="http://schemas.openxmlformats.org/drawingml/2006/picture">
                <pic:pic>
                  <pic:nvPicPr>
                    <pic:cNvPr descr="../../plot/Figures/Supplementary/FigS_atlas_hospitalization.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S1</w:t>
      </w:r>
    </w:p>
    <w:bookmarkStart w:id="110" w:name="Xb3ca2b27a451134a41cd03262270bd9a0efba11"/>
    <w:p>
      <w:pPr>
        <w:pStyle w:val="Heading3"/>
      </w:pPr>
      <w:r>
        <w:t xml:space="preserve">Figure S1. Atlas overview for hospitalization.</w:t>
      </w:r>
    </w:p>
    <w:p>
      <w:pPr>
        <w:pStyle w:val="FirstParagraph"/>
      </w:pPr>
      <w:r>
        <w:t xml:space="preserve">Same format as Figure 3, but using all-cause hospitalization as the endpoint. The per-basin majority criterion (HR &lt; 1 in ≥ half of basins) is satisfied in 42 of 51 disease families.</w:t>
      </w:r>
    </w:p>
    <w:p>
      <w:pPr>
        <w:pStyle w:val="CaptionedFigure"/>
      </w:pPr>
      <w:r>
        <w:drawing>
          <wp:inline>
            <wp:extent cx="5334000" cy="3040183"/>
            <wp:effectExtent b="0" l="0" r="0" t="0"/>
            <wp:docPr descr="Figure S2" title="" id="108" name="Picture"/>
            <a:graphic>
              <a:graphicData uri="http://schemas.openxmlformats.org/drawingml/2006/picture">
                <pic:pic>
                  <pic:nvPicPr>
                    <pic:cNvPr descr="../../plot/Figures/Supplementary/FigS_jaccard_2blocks.png" id="109" name="Picture"/>
                    <pic:cNvPicPr>
                      <a:picLocks noChangeArrowheads="1" noChangeAspect="1"/>
                    </pic:cNvPicPr>
                  </pic:nvPicPr>
                  <pic:blipFill>
                    <a:blip r:embed="rId107"/>
                    <a:stretch>
                      <a:fillRect/>
                    </a:stretch>
                  </pic:blipFill>
                  <pic:spPr bwMode="auto">
                    <a:xfrm>
                      <a:off x="0" y="0"/>
                      <a:ext cx="5334000" cy="3040183"/>
                    </a:xfrm>
                    <a:prstGeom prst="rect">
                      <a:avLst/>
                    </a:prstGeom>
                    <a:noFill/>
                    <a:ln w="9525">
                      <a:noFill/>
                      <a:headEnd/>
                      <a:tailEnd/>
                    </a:ln>
                  </pic:spPr>
                </pic:pic>
              </a:graphicData>
            </a:graphic>
          </wp:inline>
        </w:drawing>
      </w:r>
    </w:p>
    <w:p>
      <w:pPr>
        <w:pStyle w:val="ImageCaption"/>
      </w:pPr>
      <w:r>
        <w:t xml:space="preserve">Figure S2</w:t>
      </w:r>
    </w:p>
    <w:bookmarkEnd w:id="110"/>
    <w:bookmarkStart w:id="114"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neurodegenerative, prostate, pulmonary fibrosis, musculoskeletal, cardiovascular, hepatic, metabolic, psychiatric, and others.</w:t>
      </w:r>
    </w:p>
    <w:p>
      <w:pPr>
        <w:pStyle w:val="CaptionedFigure"/>
      </w:pPr>
      <w:r>
        <w:drawing>
          <wp:inline>
            <wp:extent cx="5334000" cy="3482160"/>
            <wp:effectExtent b="0" l="0" r="0" t="0"/>
            <wp:docPr descr="Figure S3" title="" id="112" name="Picture"/>
            <a:graphic>
              <a:graphicData uri="http://schemas.openxmlformats.org/drawingml/2006/picture">
                <pic:pic>
                  <pic:nvPicPr>
                    <pic:cNvPr descr="../../plot/Figures/Supplementary/FigS_jaccard_basin_level.png" id="113" name="Picture"/>
                    <pic:cNvPicPr>
                      <a:picLocks noChangeArrowheads="1" noChangeAspect="1"/>
                    </pic:cNvPicPr>
                  </pic:nvPicPr>
                  <pic:blipFill>
                    <a:blip r:embed="rId111"/>
                    <a:stretch>
                      <a:fillRect/>
                    </a:stretch>
                  </pic:blipFill>
                  <pic:spPr bwMode="auto">
                    <a:xfrm>
                      <a:off x="0" y="0"/>
                      <a:ext cx="5334000" cy="3482160"/>
                    </a:xfrm>
                    <a:prstGeom prst="rect">
                      <a:avLst/>
                    </a:prstGeom>
                    <a:noFill/>
                    <a:ln w="9525">
                      <a:noFill/>
                      <a:headEnd/>
                      <a:tailEnd/>
                    </a:ln>
                  </pic:spPr>
                </pic:pic>
              </a:graphicData>
            </a:graphic>
          </wp:inline>
        </w:drawing>
      </w:r>
    </w:p>
    <w:p>
      <w:pPr>
        <w:pStyle w:val="ImageCaption"/>
      </w:pPr>
      <w:r>
        <w:t xml:space="preserve">Figure S3</w:t>
      </w:r>
    </w:p>
    <w:bookmarkEnd w:id="114"/>
    <w:bookmarkStart w:id="118"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p>
      <w:pPr>
        <w:pStyle w:val="CaptionedFigure"/>
      </w:pPr>
      <w:r>
        <w:drawing>
          <wp:inline>
            <wp:extent cx="5334000" cy="3810000"/>
            <wp:effectExtent b="0" l="0" r="0" t="0"/>
            <wp:docPr descr="Figure S4" title="" id="116" name="Picture"/>
            <a:graphic>
              <a:graphicData uri="http://schemas.openxmlformats.org/drawingml/2006/picture">
                <pic:pic>
                  <pic:nvPicPr>
                    <pic:cNvPr descr="../../plot/Figures/Supplementary/FigS_pattern_space.png" id="117" name="Picture"/>
                    <pic:cNvPicPr>
                      <a:picLocks noChangeArrowheads="1" noChangeAspect="1"/>
                    </pic:cNvPicPr>
                  </pic:nvPicPr>
                  <pic:blipFill>
                    <a:blip r:embed="rId1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S4</w:t>
      </w:r>
    </w:p>
    <w:bookmarkEnd w:id="118"/>
    <w:bookmarkStart w:id="122" w:name="Xd2892abbe4b689a4aa2294a4b5153f4472fcaec"/>
    <w:p>
      <w:pPr>
        <w:pStyle w:val="Heading3"/>
      </w:pPr>
      <w:r>
        <w:t xml:space="preserve">Figure S4. Transition rate vs. asymmetry scatter (Table 1 backing).</w:t>
      </w:r>
    </w:p>
    <w:p>
      <w:pPr>
        <w:pStyle w:val="FirstParagraph"/>
      </w:pPr>
      <w:r>
        <w:t xml:space="preserve">Monthly inter-basin transition rate (x-axis) vs. mean pairwise asymmetry (y-axis) for multi-basin disease families. Points are colored by Table 1 pattern classification.</w:t>
      </w:r>
    </w:p>
    <w:p>
      <w:pPr>
        <w:pStyle w:val="CaptionedFigure"/>
      </w:pPr>
      <w:r>
        <w:drawing>
          <wp:inline>
            <wp:extent cx="5334000" cy="4445000"/>
            <wp:effectExtent b="0" l="0" r="0" t="0"/>
            <wp:docPr descr="Figure S5" title="" id="120" name="Picture"/>
            <a:graphic>
              <a:graphicData uri="http://schemas.openxmlformats.org/drawingml/2006/picture">
                <pic:pic>
                  <pic:nvPicPr>
                    <pic:cNvPr descr="../../plot/Figures/Supplementary/FigS_death_hosp.png" id="121"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S5</w:t>
      </w:r>
    </w:p>
    <w:bookmarkEnd w:id="122"/>
    <w:bookmarkStart w:id="12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w:t>
      </w:r>
    </w:p>
    <w:p>
      <w:pPr>
        <w:pStyle w:val="CaptionedFigure"/>
      </w:pPr>
      <w:r>
        <w:drawing>
          <wp:inline>
            <wp:extent cx="5334000" cy="5334000"/>
            <wp:effectExtent b="0" l="0" r="0" t="0"/>
            <wp:docPr descr="Figure S6" title="" id="124" name="Picture"/>
            <a:graphic>
              <a:graphicData uri="http://schemas.openxmlformats.org/drawingml/2006/picture">
                <pic:pic>
                  <pic:nvPicPr>
                    <pic:cNvPr descr="../../plot/Figures/Supplementary/FigS_crossdisease_codes.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S6</w:t>
      </w:r>
    </w:p>
    <w:bookmarkEnd w:id="126"/>
    <w:bookmarkStart w:id="130"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p>
      <w:pPr>
        <w:pStyle w:val="CaptionedFigure"/>
      </w:pPr>
      <w:r>
        <w:drawing>
          <wp:inline>
            <wp:extent cx="5334000" cy="3094681"/>
            <wp:effectExtent b="0" l="0" r="0" t="0"/>
            <wp:docPr descr="Figure S7" title="" id="128" name="Picture"/>
            <a:graphic>
              <a:graphicData uri="http://schemas.openxmlformats.org/drawingml/2006/picture">
                <pic:pic>
                  <pic:nvPicPr>
                    <pic:cNvPr descr="../../plot/Figures/Supplementary/Fig06_diabetes.png" id="129" name="Picture"/>
                    <pic:cNvPicPr>
                      <a:picLocks noChangeArrowheads="1" noChangeAspect="1"/>
                    </pic:cNvPicPr>
                  </pic:nvPicPr>
                  <pic:blipFill>
                    <a:blip r:embed="rId127"/>
                    <a:stretch>
                      <a:fillRect/>
                    </a:stretch>
                  </pic:blipFill>
                  <pic:spPr bwMode="auto">
                    <a:xfrm>
                      <a:off x="0" y="0"/>
                      <a:ext cx="5334000" cy="3094681"/>
                    </a:xfrm>
                    <a:prstGeom prst="rect">
                      <a:avLst/>
                    </a:prstGeom>
                    <a:noFill/>
                    <a:ln w="9525">
                      <a:noFill/>
                      <a:headEnd/>
                      <a:tailEnd/>
                    </a:ln>
                  </pic:spPr>
                </pic:pic>
              </a:graphicData>
            </a:graphic>
          </wp:inline>
        </w:drawing>
      </w:r>
    </w:p>
    <w:p>
      <w:pPr>
        <w:pStyle w:val="ImageCaption"/>
      </w:pPr>
      <w:r>
        <w:t xml:space="preserve">Figure S7</w:t>
      </w:r>
    </w:p>
    <w:bookmarkEnd w:id="130"/>
    <w:bookmarkStart w:id="133"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p>
      <w:pPr>
        <w:pStyle w:val="CaptionedFigure"/>
      </w:pPr>
      <w:r>
        <w:drawing>
          <wp:inline>
            <wp:extent cx="5334000" cy="4445000"/>
            <wp:effectExtent b="0" l="0" r="0" t="0"/>
            <wp:docPr descr="Figure S8" title="" id="131" name="Picture"/>
            <a:graphic>
              <a:graphicData uri="http://schemas.openxmlformats.org/drawingml/2006/picture">
                <pic:pic>
                  <pic:nvPicPr>
                    <pic:cNvPr descr="../../plot/Figures/Supplementary/FigS_death_hosp.png" id="132" name="Picture"/>
                    <pic:cNvPicPr>
                      <a:picLocks noChangeArrowheads="1" noChangeAspect="1"/>
                    </pic:cNvPicPr>
                  </pic:nvPicPr>
                  <pic:blipFill>
                    <a:blip r:embed="rId11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S8</w:t>
      </w:r>
    </w:p>
    <w:bookmarkEnd w:id="133"/>
    <w:bookmarkStart w:id="134" w:name="X55cb56c44932775d638259fd129a030968ae165"/>
    <w:p>
      <w:pPr>
        <w:pStyle w:val="Heading3"/>
      </w:pPr>
      <w:r>
        <w:t xml:space="preserve">Figure S8. Sepsis — Structured non-predictive pattern (supplementary case study).</w:t>
      </w:r>
    </w:p>
    <w:p>
      <w:pPr>
        <w:pStyle w:val="FirstParagraph"/>
      </w:pPr>
      <w:r>
        <w:t xml:space="preserve">Sepsis cohort (n = 433,603) with 3 basins. Despite structured basin organization, the energy–mortality direction is reversed (HR &gt; 1 in all basins).</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04" Target="media/rId104.png" /><Relationship Type="http://schemas.openxmlformats.org/officeDocument/2006/relationships/image" Id="rId123" Target="media/rId123.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2026-10-26T00:35:54Z</dcterms:created>
  <dcterms:modified xsi:type="dcterms:W3CDTF">2026-10-26T00:35:54Z</dcterms:modified>
</cp:coreProperties>
</file>

<file path=docProps/custom.xml><?xml version="1.0" encoding="utf-8"?>
<Properties xmlns="http://schemas.openxmlformats.org/officeDocument/2006/custom-properties" xmlns:vt="http://schemas.openxmlformats.org/officeDocument/2006/docPropsVTypes"/>
</file>