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40 of 51 families, lower energy is associated with higher mortality risk in at least half of basins. Among deceased patients in single-basin diseases, first and last basin assignments matched in a median of 97%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and gene expression states (Sasai and Wolynes, 2003), among other domains (for a tutorial, see Masuda et al., 2025).</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July 2021,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The analysis population was restricted to patients whose insurers provided death flag data (shibou_flg_riyouka = 1; approximately 40–50% of each cohort; see Methods). A disease family was classified as satisfying the per-basin majority criterion if HR &lt; 1 (lower energy associated with higher hazard) held in at least half of its basins — including the case of exactly half. In 40 of 51 disease families, this criterion was satisfied for mortality. An analogous whole-cohort analysis using disease-specific hospitalization (primary diagnosis matching the index disease’s ICD-10 codes; see Methods) as the endpoint yielded a consistent direction in 42 of 51 families in the full population (Figure S1); the hospitalization analysis was not restricted to the shibou_flg_riyouka = 1 subpopulation because hospitalization events do not depend on death flag availability.</w:t>
      </w:r>
    </w:p>
    <w:p>
      <w:pPr>
        <w:pStyle w:val="BodyText"/>
      </w:pPr>
      <w:r>
        <w:t xml:space="preserve">The eleven disease families that did not satisfy the mortality criterion were anxiety (2 basins, 0/2 HR &lt; 1), autoimmune/connective tissue disease (1 basin, 0/1), benign prostatic hyperplasia (3 basins, 0/3), COPD (1 basin, 0/1), dyslipidemia (2 basins, 0/2), liver cancer (3 basins, 1/3), rheumatoid arthritis (2 basins, 0/2), sepsis (3 basins, 0/3), thyroid disorder (4 basins, 1/4), tuberculosis (1 basin, 0/1), and urinary tract infection (3 basins, 1/3). These diseases include a mix of non-terminal chronic conditions with low mortality rates (anxiety, dyslipidemia, benign prostatic hyperplasia) and diseases with acute presentation or high lethality (sepsis, liver cancer). The non-terminal diseases may produce comorbidity landscapes where energy reflects healthcare utilization or diagnostic complexity rather than mortality risk; the acute diseases may lack sufficient longitudinal comorbidity information for severity-aligned landscapes (Figure 3).</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3 diseases: acute renal failure, aspiration pneumonia, and sepsis. The remaining 47 diseases formed a broad Chronic/Lifestyle cluster. Within the Chronic/Lifestyle cluster, clinically coherent sub-clusters emerged without supervision (Figure S2): neurodegenerative diseases (dementia, Parkinson disease, epilepsy), a frailty-adjacent group (delirium, pneumonia, malnutrition, hip fracture) positioned nearest the Acute/Frailty cluster, prostate diseases (benign prostatic hyperplasia, prostate cancer), pulmonary fibrosis diseases (interstitial lung disease, lung cancer), musculoskeletal diseases (osteoarthritis, osteoporosis), and a hepatic group (cirrhosis/fibrosis, liver cancer),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97%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29–31% moving to a different basin by the final observation. Exit from basins to non-basin states was rare (0.4–3%). Second, non-basin states are transient: among deceased patients starting outside a basin, a median of 68–75% ended in a basin (Figure 5c). Third, the fraction of patients remaining entirely outside basins throughout follow-up (Stable Non-Basin in Figure 5a) was consistently below 2%.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three axes: number of basins, direction of the energy–mortality association (per-basin majority criterion), and transition asymmetry among deceased patients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(14 families): Single basin, energy associated with mortality in the expected direction. These diseases — including stroke, ischemic heart disease, colorectal cancer, lung cancer, and pancreatic cancer — have a single stable comorbidity configuration with a clear severity gradient within it.</w:t>
      </w:r>
    </w:p>
    <w:p>
      <w:pPr>
        <w:pStyle w:val="BodyText"/>
      </w:pPr>
      <w:r>
        <w:rPr>
          <w:b/>
          <w:bCs/>
        </w:rPr>
        <w:t xml:space="preserve">Reversed</w:t>
      </w:r>
      <w:r>
        <w:t xml:space="preserve"> </w:t>
      </w:r>
      <w:r>
        <w:t xml:space="preserve">(3 families): Single basin, reversed energy–mortality association. COPD, autoimmune/connective tissue disease, and tuberculosis have a single basin in which lower energy is not associated with worse outcomes.</w:t>
      </w:r>
    </w:p>
    <w:p>
      <w:pPr>
        <w:pStyle w:val="BodyText"/>
      </w:pPr>
      <w:r>
        <w:rPr>
          <w:b/>
          <w:bCs/>
        </w:rPr>
        <w:t xml:space="preserve">Symmetric</w:t>
      </w:r>
      <w:r>
        <w:t xml:space="preserve"> </w:t>
      </w:r>
      <w:r>
        <w:t xml:space="preserve">(6 families): Multiple basins with expected energy–mortality direction and low transition asymmetry (&lt;0.3). CKD, depression, hypertension, malnutrition, and prostate cancer are examples: basins exchange patients at roughly equal rates.</w:t>
      </w:r>
    </w:p>
    <w:p>
      <w:pPr>
        <w:pStyle w:val="BodyText"/>
      </w:pPr>
      <w:r>
        <w:rPr>
          <w:b/>
          <w:bCs/>
        </w:rPr>
        <w:t xml:space="preserve">Convergent</w:t>
      </w:r>
      <w:r>
        <w:t xml:space="preserve"> </w:t>
      </w:r>
      <w:r>
        <w:t xml:space="preserve">(10 families): Multiple basins with expected energy–mortality direction and moderate transition asymmetry (0.3–0.6). Dementia, atrial fibrillation, heart failure, Parkinson disease, and schizophrenia exhibit net directional flow between basins. In dementia, for example, the Basin 2→1 transition rate (10.3% per step) exceeds Basin 1→2 (3.9%), indicating net flow toward the higher-mortality basin.</w:t>
      </w:r>
    </w:p>
    <w:p>
      <w:pPr>
        <w:pStyle w:val="BodyText"/>
      </w:pPr>
      <w:r>
        <w:rPr>
          <w:b/>
          <w:bCs/>
        </w:rPr>
        <w:t xml:space="preserve">Progressive</w:t>
      </w:r>
      <w:r>
        <w:t xml:space="preserve"> </w:t>
      </w:r>
      <w:r>
        <w:t xml:space="preserve">(10 families): Multiple basins with expected energy–mortality direction and high asymmetry (&gt;0.6). Anemia, malignancy, diabetes, asthma, and hematologic malignancy typify this pattern: inter-basin transitions are strongly directional when they occur.</w:t>
      </w:r>
    </w:p>
    <w:p>
      <w:pPr>
        <w:pStyle w:val="BodyText"/>
      </w:pPr>
      <w:r>
        <w:rPr>
          <w:b/>
          <w:bCs/>
        </w:rPr>
        <w:t xml:space="preserve">Structured reversed</w:t>
      </w:r>
      <w:r>
        <w:t xml:space="preserve"> </w:t>
      </w:r>
      <w:r>
        <w:t xml:space="preserve">(8 families): Multiple basins, reversed energy–mortality association. Anxiety, benign prostatic hyperplasia, dyslipidemia, liver cancer, rheumatoid arthritis, sepsis, thyroid disorder, and urinary tract infection exhibit structured basin organization but the expected energy–outcome direction does not hold in the majority of basins.</w:t>
      </w:r>
    </w:p>
    <w:p>
      <w:pPr>
        <w:pStyle w:val="BodyText"/>
      </w:pPr>
      <w:r>
        <w:t xml:space="preserve">The thresholds for transition asymmetry summarize observed variation in the data and are not derived from optimization criteria. Some diseases fall near the boundaries (e.g., epilepsy has asymmetry 0.31, near the Symmetric/Convergent boundary; inflammatory bowel disease and osteoporosis have asymmetry near 0.61, close to the Convergent/Progressive boundary).</w:t>
      </w:r>
    </w:p>
    <w:bookmarkEnd w:id="26"/>
    <w:bookmarkStart w:id="27" w:name="Xd08650acaa4888096d8e2ea336283147cc3d5b9"/>
    <w:p>
      <w:pPr>
        <w:pStyle w:val="Heading3"/>
      </w:pPr>
      <w:r>
        <w:t xml:space="preserve">2.6 Thyroid disorder: clinically interpretable basins with mixed energy direction</w:t>
      </w:r>
    </w:p>
    <w:p>
      <w:pPr>
        <w:pStyle w:val="FirstParagraph"/>
      </w:pPr>
      <w:r>
        <w:t xml:space="preserve">The thyroid disorder cohort (n = 2,026,922; ICD-10 E00–E07, covering the full spectrum of thyroid diseases) yielded four basins (Figure 6). Although only 1 of 4 basins satisfied the expected energy–mortality direction (Structured reversed classification), the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w:t>
      </w:r>
    </w:p>
    <w:p>
      <w:pPr>
        <w:pStyle w:val="BodyText"/>
      </w:pPr>
      <w:r>
        <w:t xml:space="preserve">Basin 4 (n = 135,495; mean age 76.0) was characterized by dental codes (chronic periodontitis, 81.8%; dental caries, 35.4%) along with hypertension (78.0%) and constipation (61.0%). Among the death-flag-available subpopulation, Basin 3 had a death rate of 15.2% and Basin 2 had a death rate of 9.0% (Figure 6b). The energy–mortality association was in the expected direction only in Basin 3 (HR = 0.934); the other three basins showed reversed associations.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5311224983501ac4856efeaa990945eb2156362"/>
    <w:p>
      <w:pPr>
        <w:pStyle w:val="Heading3"/>
      </w:pPr>
      <w:r>
        <w:t xml:space="preserve">2.7 Dementia: Symmetric pattern with divergent mortality between basins</w:t>
      </w:r>
    </w:p>
    <w:p>
      <w:pPr>
        <w:pStyle w:val="FirstParagraph"/>
      </w:pPr>
      <w:r>
        <w:t xml:space="preserve">The dementia cohort (n = 933,285; ICD-10 F00–F03, G30) yielded two basins with a Convergent transition pattern: Basin 1→2 transitions occurred at 3.9% per step and Basin 2→1 at 10.3% per step among deceased patients (asymmetry = 0.45), indicating net flow from Basin 2 toward the higher-mortality Basin 1 (Figure 7; Figure 8a).</w:t>
      </w:r>
    </w:p>
    <w:p>
      <w:pPr>
        <w:pStyle w:val="BodyText"/>
      </w:pPr>
      <w:r>
        <w:t xml:space="preserve">Among patients with death flag data available (shibou_flg_riyouka = 1; n = 480,102; 51.4% of the full cohort), the two basins showed sharply different mortality: Basin 1 (n = 243,941) had a death rate of 38.7%, compared with 13.2% in Basin 2 (n = 233,494) (Figure 7a, left panel). The energy–mortality association held in Basin 1 (HR = 0.780, p &lt; 0.001) but was reversed in Basin 2 (HR = 1.064, p &lt; 0.001), meaning that in Basin 2, lower energy was associated with lower, not higher, mortality. Dementia satisfies the per-basin majority criterion (1 of 2 basins HR &lt; 1) but has a split energy–outcome pattern.</w:t>
      </w:r>
    </w:p>
    <w:p>
      <w:pPr>
        <w:pStyle w:val="BodyText"/>
      </w:pPr>
      <w:r>
        <w:t xml:space="preserve">The two basins showed different comorbidity profiles. Basin 1 (n = 498,636 in the full cohort; mean age 83.0) was characterized by constipation (79%), xerosis cutis (39%), dermatitis (38%), and heart failure (39%). Basin 2 (n = 434,649; mean age 80.8) was characterized by hypertension (78%), diabetes (48%), and hyperlipidemia (48%). The temporal evolution of these comorbidity profiles among deceased patients is shown in Figure S9.</w:t>
      </w:r>
    </w:p>
    <w:p>
      <w:pPr>
        <w:pStyle w:val="BodyText"/>
      </w:pPr>
      <w:r>
        <w:t xml:space="preserve">The mortality difference between basins (38.7% vs. 13.2%) is substantial and mirrors their comorbidity profiles: Basin 1’s frailty-associated profile (heart failure, constipation, skin conditions) aligns with higher mortality, while Basin 2’s metabolic profile (hypertension, diabetes, hyperlipidemia) may represent a less acutely life-threatening pattern in the context of dementia. The net directional flow from Basin 2 to Basin 1 (10.3% vs. 3.9% per step) suggests that some patients in the metabolic basin accumulate frailty-associated comorbidities over time. The reversed energy direction in Basin 2 (HR = 1.064) indicates that the energy landscape does not uniformly capture severity across all basins of this disease. Hospitalization patterns also differed between basins (Figure 7a, right panel). Both the mortality and hospitalization panels use the same analysis population (shibou_flg_riyouka = 1; see Methods).</w:t>
      </w:r>
    </w:p>
    <w:p>
      <w:pPr>
        <w:pStyle w:val="BodyText"/>
      </w:pPr>
      <w:r>
        <w:t xml:space="preserve">Whether these basins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21.5%, whereas the probability of Basin 1 to Basin 3 was 0.3% — a ratio of approximately 72:1 in conditional transition probabilities. However, because Basin 1 is much larger, the absolute numbers of transitioning patients were comparable: 4,885 (Basin 3→1) versus 5,855 (Basin 1→3) transition events. The asymmetry in conditional probabilities therefore reflects the large difference in basin sizes rather than a net unidirectional flow of patients. The overall transition rate was low (0.5% per step), and the mean transition asymmetry was 0.98 — the highest across all multi-basin diseases.</w:t>
      </w:r>
    </w:p>
    <w:p>
      <w:pPr>
        <w:pStyle w:val="BodyText"/>
      </w:pPr>
      <w:r>
        <w:t xml:space="preserve">To illustrate how transition dynamics vary across ELA behavioral patterns, Figure 8 compares the step-by-step transition matrices of three representative diseases: dementia (Convergent, Figure 8a), thyroid disorder (Structured reversed, Figure 8b), and anemia (Progressive, Figure 8c). In dementia, net flow from Basin 2 to Basin 1 (10.3% vs. 3.9%) drives moderate asymmetry. In thyroid disorder, moderate asymmetry is apparent across the four basins. In anemia, the conditional probability asymmetry is extreme (~72:1) but the absolute transition counts are comparable.</w:t>
      </w:r>
    </w:p>
    <w:bookmarkEnd w:id="29"/>
    <w:bookmarkStart w:id="30" w:name="X9e4eb50918c75e1ffd94b0056596cb5a0afa24e"/>
    <w:p>
      <w:pPr>
        <w:pStyle w:val="Heading3"/>
      </w:pPr>
      <w:r>
        <w:t xml:space="preserve">2.9 Tuberculosis: Reversed pattern and ELA limitations</w:t>
      </w:r>
    </w:p>
    <w:p>
      <w:pPr>
        <w:pStyle w:val="FirstParagraph"/>
      </w:pPr>
      <w:r>
        <w:t xml:space="preserve">Tuberculosis illustrates the limitations of ELA for diseases with low observation density and acute presentation. Among TB patients with death flag data available (n = 152,290), the single basin had a reversed energy–mortality association (HR = 1.035; 95% CI 1.024–1.046), meaning that lower energy was associated with lower, not higher, mortality (Figure 9).</w:t>
      </w:r>
    </w:p>
    <w:p>
      <w:pPr>
        <w:pStyle w:val="BodyText"/>
      </w:pPr>
      <w:r>
        <w:t xml:space="preserve">Among deceased TB patients, 82.8% had trajectories classified as stable-in-basin (remaining in Basin 1 across all observed windows), while 3.3%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97% in single-basin diseases and 69% in diseases with 3–4 basins (Figure 5b). Non-basin states are transient, with 68–75% of patients starting outside basins ending in one. This temporal persistence supports the physical analogy underlying ELA — that basins represent locally stable states in a comorbidity energy landscape. The degree of inter-basin exchange varies by disease, from the near-balanced exchange in depression’s Symmetric pattern (asymmetry = 0.03) to the highly asymmetric conditional transition probabilities of anemia’s Progressive pattern (~72:1 ratio). In dementia, which exhibits a Convergent pattern, net flow from Basin 2 to Basin 1 (10.3% vs. 3.9% per step) suggests progressive accumulation of frailty-associated comorbidities.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musculoskeletal diseases, and a tight acute/frailty core (acute renal failure, aspiration pneumonia, sepsis) — emerged without supervision, echoing disease groupings identified by network approaches using different data and methods (Hidalgo et al., 2009; Jensen et al., 2014). Frailty-associated conditions (delirium, pneumonia, malnutrition, hip fracture) fell within the Chronic/Lifestyle cluster but at its boundary nearest the Acute/Frailty group, consistent with their dual chronic-and-acute character.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40 of 51 families for mortality and 42 of 51 for hospitalization, suggesting that the energy–outcome direction holds in a majority but not all disease families. The eleven families failing the mortality criterion include non-terminal chronic conditions where energy may reflect healthcare utilization rather than mortality risk (anxiety, dyslipidemia, benign prostatic hyperplasia, COPD, rheumatoid arthritis, autoimmune/connective tissue disease, urinary tract infection, thyroid disorder) and diseases with acute presentation or high lethality (sepsis, liver cancer, tuberculosis). The presence of non-terminal chronic diseases among the failures suggests that ELA’s ability to construct severity-aligned landscapes depends not only on observation density but also on whether mortality is a primary outcome for the disease family.</w:t>
      </w:r>
    </w:p>
    <w:p>
      <w:pPr>
        <w:pStyle w:val="BodyText"/>
      </w:pPr>
      <w:r>
        <w:rPr>
          <w:b/>
          <w:bCs/>
        </w:rPr>
        <w:t xml:space="preserve">Mortality divergence between basins.</w:t>
      </w:r>
      <w:r>
        <w:t xml:space="preserve"> </w:t>
      </w:r>
      <w:r>
        <w:t xml:space="preserve">The dementia case study (Figure 7) illustrates that inter-basin exchange is asymmetric (Basin 2→1: 10.3% vs. Basin 1→2: 3.9% per step), with net flow toward Basin 1, which has sharply higher mortality (38.7% vs. 13.2% among death-flag-available patients). The reversed energy–mortality direction in Basin 2 (HR = 1.064) indicates that the energy landscape does not uniformly capture severity across basins of this disease. Whether the basin differences reflect distinct comorbidity-driven subtypes, differences in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The Structured reversed category (8 families) includes non-terminal chronic conditions (anxiety, dyslipidemia, benign prostatic hyperplasia, rheumatoid arthritis) where energy may reflect healthcare utilization rather than severity, as well as conditions with acute or mixed presentation (sepsis, liver cancer).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selects the observation window with the maximum row identifier (max old_row_id), whose correspondence to calendar ordering has not been independently verified. This record may incorporate comorbidity information from the patient’s observation history and should not be interpreted as a baseline measurement.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 Ninth, all mortality analyses were restricted to patients whose insurers provided death flag data (shibou_flg_riyouka = 1), which encompasses National Health Insurance and Late-Stage Elderly enrollees but excludes employer-based insurance (kenpo) enrollees. This restriction retains approximately 40–50% of each cohort. Because insurer type correlates with age, employment status, and healthcare utilization, the mortality results may not generalize to the excluded population. The paired mortality–hospitalization figures (Figure 7) use the same restricted population for both panels to ensure comparability; riyouka = 0 patients showed similar or slightly higher hospitalization rates, suggesting that the restriction may underestimate absolute hospitalization burden but is unlikely to reverse the direction of inter-basin differences. Tenth, the relationship between observable_end_ym and the actual time of death for deceased patients has not been formally documented in the data specification; the code uses the coverage end month as the time endpoint for all patients without computing a separate death date. Empirically, observable_end_ym for deceased patients is distributed across years rather than clustered at the dataset end, suggesting it approximates the month of death, but this assumption has not been independently verified. Eleventh, the observation windows used for state assignment are 6-month claim periods that can extend beyond observable_end_ym for some patients, meaning that the representative state for a deceased patient may incorporate claims filed after death or near the end of life. This mismatch affects state assignment but not Cox survival time, which uses observable_end_ym directly.</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July 2021. The database contains diagnosis codes (ICD-10, 2013 Japanese modification), demographic information (birth year-month, sex, insurer type), observation period (start and end of coverage), death flag (available for National Health Insurance and Late-Stage Elderly enrollees; see Methods §4.5),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Patient-level representative records.</w:t>
      </w:r>
      <w:r>
        <w:t xml:space="preserve"> </w:t>
      </w:r>
      <w:r>
        <w:t xml:space="preserve">Because each patient contributed multiple observation windows, a single representative record per patient was required for clinical outcome analysis. For each patient, the observation window with the maximum row identifier (max old_row_id) was selected. This record’s state, basin assignment, and energy value served as the patient-level summary. The relationship between row identifier ordering and calendar time has not been independently verified; consequently, this record should not be assumed to correspond to the latest or earliest observation window without further confirmation.</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coverage start date, and sex is coded as a factor. Two endpoints were analyzed separately:</w:t>
      </w:r>
    </w:p>
    <w:p>
      <w:pPr>
        <w:pStyle w:val="BodyText"/>
      </w:pPr>
      <w:r>
        <w:rPr>
          <w:i/>
          <w:iCs/>
        </w:rPr>
        <w:t xml:space="preserve">Mortality.</w:t>
      </w:r>
      <w:r>
        <w:t xml:space="preserve"> </w:t>
      </w:r>
      <w:r>
        <w:t xml:space="preserve">The time variable is defined as the duration of the patient’s insurance coverage period (observable_end_ym − observable_start_ym, converted to years). The DeSC database provides two death-related flags per patient: shibou_flg (death flag: 1 = deceased, blank = alive) and shibou_flg_riyouka (death flag availability: 1 = the insurer provided death flag data, 0 = not provided). Death flag availability depends on the insurer: shibou_flg is available for National Health Insurance (NHI) and Late-Stage Elderly enrollees but is not recorded for employer-based insurance (kenpo) enrollees. The analysis population for all mortality endpoints was restricted to patients with shibou_flg_riyouka = 1, and the event indicator was shibou_flg = 1 within this subpopulation. This restriction excludes approximately 50–60% of patients per disease family, which is noted as a limitation. The code uses the coverage end month (observable_end_ym) as the time endpoint for all patients. For deceased patients, the relationship between observable_end_ym and the actual time of death is determined by the database construction and has not been independently verified.</w:t>
      </w:r>
    </w:p>
    <w:p>
      <w:pPr>
        <w:pStyle w:val="BodyText"/>
      </w:pPr>
      <w:r>
        <w:rPr>
          <w:i/>
          <w:iCs/>
        </w:rPr>
        <w:t xml:space="preserve">Disease-specific hospitalization.</w:t>
      </w:r>
      <w:r>
        <w:t xml:space="preserve"> </w:t>
      </w:r>
      <w:r>
        <w:t xml:space="preserve">The time origin is likewise the start of coverage. The event is first admission where the DPC primary diagnosis matches the index disease family’s ICD-10 codes. For patients with a qualifying admission, the time variable is the interval from coverage start to admission. For patients without a qualifying admission, the time variable is the full coverage duration (observable_end_ym − observable_start_ym); death is not explicitly modeled as a competing risk or separate censoring event in this analysis.</w:t>
      </w:r>
    </w:p>
    <w:p>
      <w:pPr>
        <w:pStyle w:val="BodyText"/>
      </w:pPr>
      <w:r>
        <w:t xml:space="preserve">The case-study hospitalization rates reported for individual diseases (Figure 7) use disease-specific hospitalization (first admission matching the index disease’s ICD-10 codes) within the shibou_flg_riyouka = 1 subpopulation. Both the mortality and hospitalization panels in the paired KM figures use the same analysis population to ensure direct comparability.</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are constructed with a 1-month sliding step, we report transition rates</w:t>
      </w:r>
      <w:r>
        <w:t xml:space="preserve"> </w:t>
      </w:r>
      <w:r>
        <w:t xml:space="preserve">“per step”</w:t>
      </w:r>
      <w:r>
        <w:t xml:space="preserve"> </w:t>
      </w:r>
      <w:r>
        <w:t xml:space="preserve">throughout, referring to the interval between consecutive retained observation positions. The calendar-time gap between consecutive retained positions has not been independently verified and may vary across patients;</w:t>
      </w:r>
      <w:r>
        <w:t xml:space="preserve"> </w:t>
      </w:r>
      <w:r>
        <w:t xml:space="preserve">“per step”</w:t>
      </w:r>
      <w:r>
        <w:t xml:space="preserve"> </w:t>
      </w:r>
      <w:r>
        <w:t xml:space="preserve">should not be read as</w:t>
      </w:r>
      <w:r>
        <w:t xml:space="preserve"> </w:t>
      </w:r>
      <w:r>
        <w:t xml:space="preserve">“per calendar month.”</w:t>
      </w:r>
      <w:r>
        <w:t xml:space="preserve"> </w:t>
      </w:r>
      <w:r>
        <w:t xml:space="preserve">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7784423.</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19095779.</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Masuda N, Megumi F, Kanai R, Rees G.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60" w:name="figure-legends"/>
    <w:p>
      <w:pPr>
        <w:pStyle w:val="Heading2"/>
      </w:pPr>
      <w:r>
        <w:t xml:space="preserve">Figure legends</w:t>
      </w:r>
    </w:p>
    <w:bookmarkStart w:id="51"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40 of 51 families for mortality and 42 of 51 for hospitalization.</w:t>
      </w:r>
    </w:p>
    <w:bookmarkEnd w:id="51"/>
    <w:bookmarkStart w:id="52"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bookmarkEnd w:id="52"/>
    <w:bookmarkStart w:id="53"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40 of 51 disease families.</w:t>
      </w:r>
    </w:p>
    <w:bookmarkEnd w:id="53"/>
    <w:bookmarkStart w:id="5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(3 diseases: acute renal failure, aspiration pneumonia, sepsis) and a broad Chronic/Lifestyle cluster (47 diseases). Within the Chronic/Lifestyle cluster, clinically coherent sub-clusters emerge without supervision, including a frailty-adjacent group at the boundary nearest the Acute/Frailty cluster.</w:t>
      </w:r>
    </w:p>
    <w:bookmarkEnd w:id="54"/>
    <w:bookmarkStart w:id="55"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88% remain in the same basin throughout follow-up; in 2+ basin diseases, roughly half undergo state transitions. Stable Non-Basin accounts for less than 2%. (b) Among deceased patients starting in a basin, a median of 97% had the same basin at first and last observation in 1-basin diseases; this drops to approximately 69% in 3–4 basin diseases, where 29–31% move to a different basin. This is an endpoint comparison that permits intermediate departures and returns. (c) Among deceased patients starting outside a basin, a median of 68–75% ended in a basin. n = 24 for the 2-basin group, as 2 of 26 two-basin families had no non-basin-starting deceased patients.</w:t>
      </w:r>
    </w:p>
    <w:bookmarkEnd w:id="55"/>
    <w:bookmarkStart w:id="56" w:name="X1a210a37e652191035ab5b2846a9a9b9601b816"/>
    <w:p>
      <w:pPr>
        <w:pStyle w:val="Heading3"/>
      </w:pPr>
      <w:r>
        <w:t xml:space="preserve">Figure 6. Thyroid disorder energy landscape with clinically interpretable basins (Structured reversed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restricted to death-flag-available patients (shibou_flg_riyouka = 1). Basin 3 has the highest death rate (15.2%) while Basin 1 (8.7%) and Basin 2 (9.0%) have the lowest. Only Basin 3 shows the expected energy–mortality direction (HR = 0.934); the other three basins are reversed. (c) Disconnectivity graph. Basin 1 and Basin 3 merge at the lowest connection energy (E = −0.68), indicating energetic adjacency. (d) Temporal basin composition among deceased patients at successive observation positions before the last retained record.</w:t>
      </w:r>
    </w:p>
    <w:bookmarkEnd w:id="56"/>
    <w:bookmarkStart w:id="57" w:name="X2f3d33244a5a2d38140021b3215fc4a242014f9"/>
    <w:p>
      <w:pPr>
        <w:pStyle w:val="Heading3"/>
      </w:pPr>
      <w:r>
        <w:t xml:space="preserve">Figure 7. Dementia — divergent mortality and hospitalization between two basins (Convergent pattern).</w:t>
      </w:r>
    </w:p>
    <w:p>
      <w:pPr>
        <w:pStyle w:val="Compact"/>
        <w:numPr>
          <w:ilvl w:val="0"/>
          <w:numId w:val="1008"/>
        </w:numPr>
      </w:pPr>
      <w:r>
        <w:t xml:space="preserve">Kaplan–Meier curves for mortality (left) and disease-specific hospitalization (right) in the dementia cohort, restricted to patients with death flag data available (shibou_flg_riyouka = 1; n = 480,102), stratified by basin. Basin 1 (n = 243,941) had a death rate of 38.7%, compared with 13.2% in Basin 2 (n = 233,494). The energy–mortality association held in Basin 1 (HR = 0.780) but was reversed in Basin 2 (HR = 1.064). Basin 1 (mean age 83.0) is associated with constipation, xerosis cutis, dermatitis, and heart failure codes. Basin 2 (mean age 80.8) is associated with hypertension, diabetes, and hyperlipidemia codes. Among deceased patients, transition rates between basins are asymmetric: Basin 2→1 = 10.3% vs. Basin 1→2 = 3.9% per step (asymmetry = 0.45), indicating net flow toward the higher-mortality basin. Both panels use the same analysis population (shibou_flg_riyouka = 1).</w:t>
      </w:r>
    </w:p>
    <w:bookmarkEnd w:id="57"/>
    <w:bookmarkStart w:id="58"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(Convergent): Basin 1→2 = 3.9%, Basin 2→1 = 10.3%, showing net flow toward Basin 1 (the higher-mortality basin). (b) Thyroid disorder (Structured reversed): 4×4 matrix with moderate asymmetry across basins. (c) Anemia (Progressive): Basin 3→1 = 21.5% vs. Basin 1→3 = 0.3%, approximately a 72:1 ratio in conditional transition probabilities. The absolute transition counts are comparable (4,885 vs. 5,855) because Basin 1 is much larger than Basin 3.</w:t>
      </w:r>
    </w:p>
    <w:bookmarkEnd w:id="58"/>
    <w:bookmarkStart w:id="59" w:name="X24d2d43d140cf2e624622000d74446c134bf6fa"/>
    <w:p>
      <w:pPr>
        <w:pStyle w:val="Heading3"/>
      </w:pPr>
      <w:r>
        <w:t xml:space="preserve">Figure 9. Tuberculosis — ELA limitations for low-density single-basin diseases (Reversed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Among death-flag-available patients (n = 152,290), Cox analysis yields HR = 1.035 (95% CI: 1.024–1.046),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59"/>
    <w:bookmarkEnd w:id="60"/>
    <w:bookmarkStart w:id="61"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697"/>
        <w:gridCol w:w="1508"/>
        <w:gridCol w:w="942"/>
        <w:gridCol w:w="1320"/>
        <w:gridCol w:w="565"/>
        <w:gridCol w:w="1885"/>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Exp</w:t>
            </w:r>
          </w:p>
        </w:tc>
        <w:tc>
          <w:tcPr/>
          <w:p>
            <w:pPr>
              <w:pStyle w:val="Compact"/>
            </w:pPr>
            <w:r>
              <w:t xml:space="preserve">—</w:t>
            </w:r>
          </w:p>
        </w:tc>
        <w:tc>
          <w:tcPr/>
          <w:p>
            <w:pPr>
              <w:pStyle w:val="Compact"/>
            </w:pPr>
            <w:r>
              <w:t xml:space="preserve">14</w:t>
            </w:r>
          </w:p>
        </w:tc>
        <w:tc>
          <w:tcPr/>
          <w:p>
            <w:pPr>
              <w:pStyle w:val="Compact"/>
            </w:pPr>
            <w:r>
              <w:t xml:space="preserve">Breast ca., Cirrhosis, Colorectal ca., Gout, Hip fracture, ILD, IHD, Liver disease, Lung ca., Metastatic ca., Obesity, Pancreatic ca., Stomach ca., Stroke</w:t>
            </w:r>
          </w:p>
        </w:tc>
      </w:tr>
      <w:tr>
        <w:tc>
          <w:tcPr/>
          <w:p>
            <w:pPr>
              <w:pStyle w:val="Compact"/>
            </w:pPr>
            <w:r>
              <w:t xml:space="preserve">Reversed</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3</w:t>
            </w:r>
          </w:p>
        </w:tc>
        <w:tc>
          <w:tcPr/>
          <w:p>
            <w:pPr>
              <w:pStyle w:val="Compact"/>
            </w:pPr>
            <w:r>
              <w:t xml:space="preserve">Autoimmune conn. tissue, COPD, TB</w:t>
            </w:r>
          </w:p>
        </w:tc>
      </w:tr>
      <w:tr>
        <w:tc>
          <w:tcPr/>
          <w:p>
            <w:pPr>
              <w:pStyle w:val="Compact"/>
            </w:pPr>
            <w:r>
              <w:t xml:space="preserve">Symmetric</w:t>
            </w:r>
          </w:p>
        </w:tc>
        <w:tc>
          <w:tcPr/>
          <w:p>
            <w:pPr>
              <w:pStyle w:val="Compact"/>
            </w:pPr>
            <w:r>
              <w:t xml:space="preserve">Multi</w:t>
            </w:r>
          </w:p>
        </w:tc>
        <w:tc>
          <w:tcPr/>
          <w:p>
            <w:pPr>
              <w:pStyle w:val="Compact"/>
            </w:pPr>
            <w:r>
              <w:t xml:space="preserve">Exp</w:t>
            </w:r>
          </w:p>
        </w:tc>
        <w:tc>
          <w:tcPr/>
          <w:p>
            <w:pPr>
              <w:pStyle w:val="Compact"/>
            </w:pPr>
            <w:r>
              <w:t xml:space="preserve">&lt;0.3</w:t>
            </w:r>
          </w:p>
        </w:tc>
        <w:tc>
          <w:tcPr/>
          <w:p>
            <w:pPr>
              <w:pStyle w:val="Compact"/>
            </w:pPr>
            <w:r>
              <w:t xml:space="preserve">6</w:t>
            </w:r>
          </w:p>
        </w:tc>
        <w:tc>
          <w:tcPr/>
          <w:p>
            <w:pPr>
              <w:pStyle w:val="Compact"/>
            </w:pPr>
            <w:r>
              <w:t xml:space="preserve">AKI, CKD, Depression, HTN, Malnutrition, Prostate ca.</w:t>
            </w:r>
          </w:p>
        </w:tc>
      </w:tr>
      <w:tr>
        <w:tc>
          <w:tcPr/>
          <w:p>
            <w:pPr>
              <w:pStyle w:val="Compact"/>
            </w:pPr>
            <w:r>
              <w:t xml:space="preserve">Convergent</w:t>
            </w:r>
          </w:p>
        </w:tc>
        <w:tc>
          <w:tcPr/>
          <w:p>
            <w:pPr>
              <w:pStyle w:val="Compact"/>
            </w:pPr>
            <w:r>
              <w:t xml:space="preserve">Multi</w:t>
            </w:r>
          </w:p>
        </w:tc>
        <w:tc>
          <w:tcPr/>
          <w:p>
            <w:pPr>
              <w:pStyle w:val="Compact"/>
            </w:pPr>
            <w:r>
              <w:t xml:space="preserve">Exp</w:t>
            </w:r>
          </w:p>
        </w:tc>
        <w:tc>
          <w:tcPr/>
          <w:p>
            <w:pPr>
              <w:pStyle w:val="Compact"/>
            </w:pPr>
            <w:r>
              <w:t xml:space="preserve">0.3–0.6</w:t>
            </w:r>
          </w:p>
        </w:tc>
        <w:tc>
          <w:tcPr/>
          <w:p>
            <w:pPr>
              <w:pStyle w:val="Compact"/>
            </w:pPr>
            <w:r>
              <w:t xml:space="preserve">10</w:t>
            </w:r>
          </w:p>
        </w:tc>
        <w:tc>
          <w:tcPr/>
          <w:p>
            <w:pPr>
              <w:pStyle w:val="Compact"/>
            </w:pPr>
            <w:r>
              <w:t xml:space="preserve">AF, Delirium, Dementia, Epilepsy, Heart failure, Parkinson, Pneumonia, Schizophrenia, Sleep disorders, Viral hepatitis</w:t>
            </w:r>
          </w:p>
        </w:tc>
      </w:tr>
      <w:tr>
        <w:tc>
          <w:tcPr/>
          <w:p>
            <w:pPr>
              <w:pStyle w:val="Compact"/>
            </w:pPr>
            <w:r>
              <w:t xml:space="preserve">Progressive</w:t>
            </w:r>
          </w:p>
        </w:tc>
        <w:tc>
          <w:tcPr/>
          <w:p>
            <w:pPr>
              <w:pStyle w:val="Compact"/>
            </w:pPr>
            <w:r>
              <w:t xml:space="preserve">Multi</w:t>
            </w:r>
          </w:p>
        </w:tc>
        <w:tc>
          <w:tcPr/>
          <w:p>
            <w:pPr>
              <w:pStyle w:val="Compact"/>
            </w:pPr>
            <w:r>
              <w:t xml:space="preserve">Exp</w:t>
            </w:r>
          </w:p>
        </w:tc>
        <w:tc>
          <w:tcPr/>
          <w:p>
            <w:pPr>
              <w:pStyle w:val="Compact"/>
            </w:pPr>
            <w:r>
              <w:t xml:space="preserve">&gt;0.6</w:t>
            </w:r>
          </w:p>
        </w:tc>
        <w:tc>
          <w:tcPr/>
          <w:p>
            <w:pPr>
              <w:pStyle w:val="Compact"/>
            </w:pPr>
            <w:r>
              <w:t xml:space="preserve">10</w:t>
            </w:r>
          </w:p>
        </w:tc>
        <w:tc>
          <w:tcPr/>
          <w:p>
            <w:pPr>
              <w:pStyle w:val="Compact"/>
            </w:pPr>
            <w:r>
              <w:t xml:space="preserve">Anemia, Asp. pneumonia, Asthma, Diabetes, Hem. malignancy, IBD, Malignancy, OA, Osteoporosis, Peptic ulcer</w:t>
            </w:r>
          </w:p>
        </w:tc>
      </w:tr>
      <w:tr>
        <w:tc>
          <w:tcPr/>
          <w:p>
            <w:pPr>
              <w:pStyle w:val="Compact"/>
            </w:pPr>
            <w:r>
              <w:t xml:space="preserve">Str. reversed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8</w:t>
            </w:r>
          </w:p>
        </w:tc>
        <w:tc>
          <w:tcPr/>
          <w:p>
            <w:pPr>
              <w:pStyle w:val="Compact"/>
            </w:pPr>
            <w:r>
              <w:t xml:space="preserve">Anxiety, BPH, Dyslipidemia, Liver ca., RA, Sepsis, Thyroid, UTI</w:t>
            </w:r>
          </w:p>
        </w:tc>
      </w:tr>
    </w:tbl>
    <w:p>
      <w:pPr>
        <w:pStyle w:val="BodyText"/>
      </w:pPr>
      <w:r>
        <w:t xml:space="preserve">Abbreviations: Exp = Expected direction (HR &lt; 1 in ≥ half of basins; directional consistency, not predictive performance); Rev = Reversed; Asym. = mean pairwise transition asymmetry among deceased patients;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reversed = Structured reversed; TB = tuberculosis. Asymmetry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61"/>
    <w:bookmarkStart w:id="71" w:name="supplementary-figure-legends"/>
    <w:p>
      <w:pPr>
        <w:pStyle w:val="Heading2"/>
      </w:pPr>
      <w:r>
        <w:t xml:space="preserve">Supplementary figure legends</w:t>
      </w:r>
    </w:p>
    <w:bookmarkStart w:id="62" w:name="Xb3ca2b27a451134a41cd03262270bd9a0efba11"/>
    <w:p>
      <w:pPr>
        <w:pStyle w:val="Heading3"/>
      </w:pPr>
      <w:r>
        <w:t xml:space="preserve">Figure S1. Atlas overview for hospitalization.</w:t>
      </w:r>
    </w:p>
    <w:p>
      <w:pPr>
        <w:pStyle w:val="FirstParagraph"/>
      </w:pPr>
      <w:r>
        <w:t xml:space="preserve">Same format as Figure 3, but using disease-specific hospitalization (DPC primary diagnosis matching the index disease’s ICD-10 codes) as the endpoint. The per-basin majority criterion (HR &lt; 1 in ≥ half of basins) is satisfied in 42 of 51 disease families.</w:t>
      </w:r>
    </w:p>
    <w:bookmarkEnd w:id="62"/>
    <w:bookmarkStart w:id="63"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a frailty-adjacent group (delirium, pneumonia, malnutrition, hip fracture), neurodegenerative (dementia, Parkinson disease, epilepsy), prostate (benign prostatic hyperplasia, prostate cancer), pulmonary fibrosis (interstitial lung disease, lung cancer), musculoskeletal (osteoporosis, osteoarthritis), hepatic (cirrhosis/fibrosis, liver cancer), and others.</w:t>
      </w:r>
    </w:p>
    <w:bookmarkEnd w:id="63"/>
    <w:bookmarkStart w:id="64"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bookmarkEnd w:id="64"/>
    <w:bookmarkStart w:id="65"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bookmarkEnd w:id="65"/>
    <w:bookmarkStart w:id="6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all-cause hospitalization rate (y-axis) across all basins in multi-basin disease families. Hospitalization rates here are all-cause (any admission).</w:t>
      </w:r>
    </w:p>
    <w:bookmarkEnd w:id="66"/>
    <w:bookmarkStart w:id="67"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bookmarkEnd w:id="67"/>
    <w:bookmarkStart w:id="68" w:name="Xe28cc9d6f24be8d520643aae9556c3d29805a42"/>
    <w:p>
      <w:pPr>
        <w:pStyle w:val="Heading3"/>
      </w:pPr>
      <w:r>
        <w:t xml:space="preserve">Figure S7. Diabetes — Convergent pattern (supplementary case study).</w:t>
      </w:r>
    </w:p>
    <w:p>
      <w:pPr>
        <w:pStyle w:val="FirstParagraph"/>
      </w:pPr>
      <w:r>
        <w:t xml:space="preserve">Four-panel figure for the diabetes cohort (n = 4,514,492): (a) basin comorbidity profiles, (b) inter-basin Kaplan–Meier curves, (c) disconnectivity graph, (d) temporal basin flow.</w:t>
      </w:r>
    </w:p>
    <w:bookmarkEnd w:id="68"/>
    <w:bookmarkStart w:id="69" w:name="X3e239a4a409ad5c012f5ceab4df4690ddac65ac"/>
    <w:p>
      <w:pPr>
        <w:pStyle w:val="Heading3"/>
      </w:pPr>
      <w:r>
        <w:t xml:space="preserve">Figure S8. Sepsis — Structured reversed pattern (supplementary case study).</w:t>
      </w:r>
    </w:p>
    <w:p>
      <w:pPr>
        <w:pStyle w:val="FirstParagraph"/>
      </w:pPr>
      <w:r>
        <w:t xml:space="preserve">Sepsis cohort (n = 434,910) with 3 basins (Basin 1: 154,734; Basin 2: 233,467; Basin 3: 46,709). Despite structured basin organization, the energy–mortality direction is reversed (HR &gt; 1 in all basins). Panels show: KM survival curves by basin, tag clouds of top comorbidity codes per basin, and trajectory heatmap before death.</w:t>
      </w:r>
    </w:p>
    <w:bookmarkEnd w:id="69"/>
    <w:bookmarkStart w:id="70" w:name="X447efdd3f460a2c01ed557b53c7ae9bcd3f44fd"/>
    <w:p>
      <w:pPr>
        <w:pStyle w:val="Heading3"/>
      </w:pPr>
      <w:r>
        <w:t xml:space="preserve">Figure S9. ICD-10 code frequency trajectories before death and before hospitalization, per basin.</w:t>
      </w:r>
    </w:p>
    <w:p>
      <w:pPr>
        <w:pStyle w:val="FirstParagraph"/>
      </w:pPr>
      <w:r>
        <w:t xml:space="preserve">Heatmaps showing the frequency of the top 30 ICD-10 codes (by total count within each basin) across ordinal positions before death (panels a) and before disease-specific hospitalization (panels b), for representative disease families (dementia, thyroid disorder, anemia, tuberculosis). Each cell shows the fraction of observation windows at that position within the basin that contained the code (denominator: number of unique patients at that position in the basin). The x-axis represents ordinal positions before the event (0 = last retained observation before death or hospitalization), not calendar time; the y-axis lists codes ordered by overall frequency. Basin membership is re-evaluated at each position, so patients who changed basins contribute to different basins at different positions. The hospitalization endpoint is disease-specific: admission where the DPC primary diagnosis matches the index disease family’s ICD-10 codes. These heatmaps reflect population-level shifts in code prevalence and do not imply individual-level disease onset ordering or pairwise comorbidity co-occurrence.</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2026-10-27T00:14:50Z</dcterms:created>
  <dcterms:modified xsi:type="dcterms:W3CDTF">2026-10-27T00:14:50Z</dcterms:modified>
</cp:coreProperties>
</file>

<file path=docProps/custom.xml><?xml version="1.0" encoding="utf-8"?>
<Properties xmlns="http://schemas.openxmlformats.org/officeDocument/2006/custom-properties" xmlns:vt="http://schemas.openxmlformats.org/officeDocument/2006/docPropsVTypes"/>
</file>