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27 of 51 families, lower energy is associated with higher mortality risk in at least half of basins. Among deceased patients in single-basin diseases, first and last basin assignments matched in a median of 98%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February 2022,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27 of 51 disease families, this criterion was satisfied for mortality under a landmark Cox design (see Methods §4.5). An analogous analysis using disease-specific hospitalization (primary diagnosis matching the index disease’s ICD-10 codes; see Methods) as the endpoint yielded a consistent direction in 35 of 51 families in the full population (Figure S1); the hospitalization analysis was not restricted to the shibou_flg_riyouka = 1 subpopulation because hospitalization events do not depend on death flag availability.</w:t>
      </w:r>
    </w:p>
    <w:p>
      <w:pPr>
        <w:pStyle w:val="BodyText"/>
      </w:pPr>
      <w:r>
        <w:t xml:space="preserve">The twenty-four disease families that did not satisfy the mortality criterion were acute renal failure (2 basins, 0/2 HR &lt; 1), anxiety (2 basins, 0/2), autoimmune/connective tissue disease (1 basin, 0/1), benign prostatic hyperplasia (3 basins, 1/3), cirrhosis/fibrosis (1 basin, 0/1), COPD (1 basin, 0/1), delirium (2 basins, 0/2), depression (2 basins, 0/2), dyslipidemia (2 basins, 0/2), epilepsy (2 basins, 0/2), gout (1 basin, 0/1), hip fracture (1 basin, 0/1), liver cancer (3 basins, 0/3), pancreatic cancer (1 basin, 0/1), Parkinson disease (3 basins, 1/3), pneumonia (2 basins, 0/2), prostate cancer (2 basins, 0/2), rheumatoid arthritis (2 basins, 0/2), schizophrenia (2 basins, 0/2), sepsis (3 basins, 0/3), thyroid disorder (4 basins, 0/4), tuberculosis (1 basin, 0/1), urinary tract infection (3 basins, 1/3), and viral hepatitis (2 basins, 0/2). These diseases include non-terminal chronic conditions with low mortality rates (anxiety, dyslipidemia, gout, benign prostatic hyperplasia, prostate cancer), neuropsychiatric conditions (depression, schizophrenia, epilepsy, delirium), diseases with acute presentation or high lethality (sepsis, acute renal failure, urinary tract infection), and conditions where the energy–severity relationship may be attenuated at the first eligible observation window used by the landmark design (cirrhosis/fibrosis, hip fracture, pancreatic cancer, Parkinson disease, pneumonia, viral hepatitis).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98%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approximately 30% moving to a different basin by the final observation. Exit from basins to non-basin states was rare (median below 3% across basin-count groups). Second, non-basin states are transient: among deceased patients starting outside a basin, a median of 74–90% ended in a basin (Figure 5c). Third, the fraction of patients remaining entirely outside basins throughout follow-up (Stable Non-Basin in Figure 5a) was generally below 3% (median 0.4%, maximum 4.4% in obesity).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three axes: number of basins, direction of the energy–mortality association (per-basin majority criterion), and transition asymmetry among deceased patients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(10 families): Single basin, energy associated with mortality in the expected direction. These diseases — including stroke, ischemic heart disease, colorectal cancer, lung cancer, and metastatic cancer — have a single stable comorbidity configuration with a clear severity gradient within it.</w:t>
      </w:r>
    </w:p>
    <w:p>
      <w:pPr>
        <w:pStyle w:val="BodyText"/>
      </w:pPr>
      <w:r>
        <w:rPr>
          <w:b/>
          <w:bCs/>
        </w:rPr>
        <w:t xml:space="preserve">Reversed</w:t>
      </w:r>
      <w:r>
        <w:t xml:space="preserve"> </w:t>
      </w:r>
      <w:r>
        <w:t xml:space="preserve">(7 families): Single basin, reversed energy–mortality association. COPD, autoimmune/connective tissue disease, tuberculosis, cirrhosis/fibrosis, gout, hip fracture, and pancreatic cancer have a single basin in which lower energy is not associated with worse outcomes.</w:t>
      </w:r>
    </w:p>
    <w:p>
      <w:pPr>
        <w:pStyle w:val="BodyText"/>
      </w:pPr>
      <w:r>
        <w:rPr>
          <w:b/>
          <w:bCs/>
        </w:rPr>
        <w:t xml:space="preserve">Symmetric</w:t>
      </w:r>
      <w:r>
        <w:t xml:space="preserve"> </w:t>
      </w:r>
      <w:r>
        <w:t xml:space="preserve">(3 families): Multiple basins with expected energy–mortality direction and low transition asymmetry (&lt;0.3). CKD, hypertension, and malnutrition are examples: basins exchange patients at roughly equal rates.</w:t>
      </w:r>
    </w:p>
    <w:p>
      <w:pPr>
        <w:pStyle w:val="BodyText"/>
      </w:pPr>
      <w:r>
        <w:rPr>
          <w:b/>
          <w:bCs/>
        </w:rPr>
        <w:t xml:space="preserve">Convergent</w:t>
      </w:r>
      <w:r>
        <w:t xml:space="preserve"> </w:t>
      </w:r>
      <w:r>
        <w:t xml:space="preserve">(4 families): Multiple basins with expected energy–mortality direction and moderate transition asymmetry (0.3–0.6). Dementia, atrial fibrillation, heart failure, and sleep disorders exhibit net directional flow between basins. In dementia, for example, the Basin 2→1 transition rate (10.3% per step) exceeds Basin 1→2 (3.9%), and the absolute transition counts confirm net flow toward the higher-mortality basin (74,996 vs. 51,471 events).</w:t>
      </w:r>
    </w:p>
    <w:p>
      <w:pPr>
        <w:pStyle w:val="BodyText"/>
      </w:pPr>
      <w:r>
        <w:rPr>
          <w:b/>
          <w:bCs/>
        </w:rPr>
        <w:t xml:space="preserve">Progressive</w:t>
      </w:r>
      <w:r>
        <w:t xml:space="preserve"> </w:t>
      </w:r>
      <w:r>
        <w:t xml:space="preserve">(10 families): Multiple basins with expected energy–mortality direction and high asymmetry (&gt;0.6). Anemia, malignancy, diabetes, asthma, and osteoarthritis typify this pattern: inter-basin transitions are strongly directional when they occur.</w:t>
      </w:r>
    </w:p>
    <w:p>
      <w:pPr>
        <w:pStyle w:val="BodyText"/>
      </w:pPr>
      <w:r>
        <w:rPr>
          <w:b/>
          <w:bCs/>
        </w:rPr>
        <w:t xml:space="preserve">Structured reversed</w:t>
      </w:r>
      <w:r>
        <w:t xml:space="preserve"> </w:t>
      </w:r>
      <w:r>
        <w:t xml:space="preserve">(17 families): Multiple basins, reversed energy–mortality association. Anxiety, benign prostatic hyperplasia, delirium, depression, dyslipidemia, epilepsy, liver cancer, Parkinson disease, pneumonia, prostate cancer, rheumatoid arthritis, schizophrenia, sepsis, thyroid disorder, acute renal failure, urinary tract infection, and viral hepatitis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0.31, near the Symmetric/Convergent boundary; inflammatory bowel disease and osteoporosis have asymmetry near 0.61,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Under the landmark Cox design, none of the 4 basins satisfied the expected energy–mortality direction (Structured reversed classification), but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under the landmark design, Basin 3 had a death rate of 13.0% and Basin 2 had a death rate of 8.7% (Figure 6b). The energy–mortality association was reversed in all four basins (Basin 1: HR = 1.048, Basin 2: HR = 1.726, Basin 3: HR = 1.016, Basin 4: HR = 1.618).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a737101fe631dcbc8dd472ce7011983c5b7aa9c"/>
    <w:p>
      <w:pPr>
        <w:pStyle w:val="Heading3"/>
      </w:pPr>
      <w:r>
        <w:t xml:space="preserve">2.7 Dementia: Convergent pattern with divergent mortality between basins</w:t>
      </w:r>
    </w:p>
    <w:p>
      <w:pPr>
        <w:pStyle w:val="FirstParagraph"/>
      </w:pPr>
      <w:r>
        <w:t xml:space="preserve">The dementia cohort (n = 933,285; ICD-10 F00–F03, G30) yielded two basins with a Convergent transition pattern: Basin 1→2 transitions occurred at 3.9% per step and Basin 2→1 at 10.3% per step among deceased patients (asymmetry = 0.45); the absolute transition counts (74,996 Basin 2→1 vs. 51,471 Basin 1→2 events) confirm net flow from Basin 2 toward the higher-mortality Basin 1 (Figure 7; Figure 8a).</w:t>
      </w:r>
    </w:p>
    <w:p>
      <w:pPr>
        <w:pStyle w:val="BodyText"/>
      </w:pPr>
      <w:r>
        <w:t xml:space="preserve">Under the landmark Cox design (see Methods §4.5), the analysis included 449,369 patients with death flag data available (shibou_flg_riyouka = 1). The two basins showed sharply different mortality: Basin 1 (n = 183,908) had a death rate of 33.6%, compared with 17.2% in Basin 2 (n = 265,461) (Figure 7a, left panel). The energy–mortality association held in Basin 1 (HR = 0.855, p &lt; 0.001) but was reversed in Basin 2 (HR = 1.132,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370,219 in the landmark-eligible cohort; mean age 83.0) was characterized by constipation (79%), xerosis cutis (39%), dermatitis (38%), and heart failure (39%). Basin 2 (n = 511,818;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(33.6% vs. 17.2%) is substantial and mirrors their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net directional flow from Basin 2 to Basin 1 (10.3% vs. 3.9% per step; 74,996 vs. 51,471 absolute transition events) suggests that some patients in the metabolic basin accumulate frailty-associated comorbidities over time. The reversed energy direction in Basin 2 (HR = 1.132) indicates that the energy landscape does not uniformly capture severity across all basins of this disease. Hospitalization patterns also differed between basins (Figure 7a, right panel). Both the mortality and hospitalization panels use the same analysis population (shibou_flg_riyouka = 1; see Methods).</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24.1%, whereas the probability of Basin 1 to Basin 3 was 0.2% — a ratio of approximately 110:1 in conditional transition probabilities. However, because Basin 1 is much larger, the absolute numbers of transitioning patients were comparable: 5,641 (Basin 3→1) versus 4,695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(Convergent, Figure 8a), thyroid disorder (Structured reversed, Figure 8b), and anemia (Progressive, Figure 8c). In dementia, net flow from Basin 2 to Basin 1 (10.3% vs. 3.9%; 74,996 vs. 51,471 events) drives moderate asymmetry. In thyroid disorder, moderate asymmetry is apparent across the four basins. In anemia, the conditional probability asymmetry is extreme (~110:1) but the absolute transition counts are comparable (5,641 vs. 4,695).</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under the landmark design (n = 148,146), the single basin had a reversed energy–mortality association (HR = 1.143; 95% CI 1.130–1.157), meaning that lower energy was associated with lower, not higher, mortality (Figure 9).</w:t>
      </w:r>
    </w:p>
    <w:p>
      <w:pPr>
        <w:pStyle w:val="BodyText"/>
      </w:pPr>
      <w:r>
        <w:t xml:space="preserve">Among deceased TB patients, 82.6% had trajectories classified as stable-in-basin (remaining in Basin 1 across all observed windows), while 1.5%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98% in single-basin diseases and 69% in diseases with 3–4 basins (Figure 5b). Non-basin states are transient, with 74–90% of patients starting outside basins ending in one. This temporal persistence supports the physical analogy underlying ELA — that basins represent locally stable states in a comorbidity energy landscape. The degree of inter-basin exchange varies by disease, from the near-balanced exchange in depression’s Symmetric pattern (asymmetry = 0.03) to the highly asymmetric conditional transition probabilities of anemia’s Progressive pattern (~110:1 ratio). In dementia, which exhibits a Convergent pattern, net flow from Basin 2 to Basin 1 (10.3% vs. 3.9% per step; 74,996 vs. 51,471 absolute events) suggests progressive accumulation of frailty-associated comorbidities.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27 of 51 families for mortality and 35 of 51 for hospitalization, suggesting that the energy–outcome direction holds in a majority but not all disease families. The twenty-four families failing the mortality criterion include non-terminal chronic conditions where energy may reflect healthcare utilization rather than mortality risk (anxiety, gout, benign prostatic hyperplasia, prostate cancer), neuropsychiatric conditions (depression, schizophrenia, epilepsy, delirium), conditions where the landmark design may attenuate the energy–severity relationship (cirrhosis/fibrosis, hip fracture, Parkinson disease, pneumonia), and diseases with acute presentation or high lethality (sepsis, liver cancer, acute renal failure, tuberculosis). The landmark design simultaneously changes the state measurement time point, the eligible patient set, and the follow-up origin relative to the pre-landmark analysis; the contribution of each change to the number of failures cannot be isolated.</w:t>
      </w:r>
    </w:p>
    <w:p>
      <w:pPr>
        <w:pStyle w:val="BodyText"/>
      </w:pPr>
      <w:r>
        <w:rPr>
          <w:b/>
          <w:bCs/>
        </w:rPr>
        <w:t xml:space="preserve">Mortality divergence between basins.</w:t>
      </w:r>
      <w:r>
        <w:t xml:space="preserve"> </w:t>
      </w:r>
      <w:r>
        <w:t xml:space="preserve">The dementia case study (Figure 7) illustrates that inter-basin exchange is asymmetric (Basin 2→1: 10.3% vs. Basin 1→2: 3.9% per step; 74,996 vs. 51,471 absolute events), with net flow toward Basin 1, which has sharply higher mortality (33.6% vs. 17.2% among death-flag-available patients under the landmark design). The reversed energy–mortality direction in Basin 2 (HR = 1.132)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The Structured reversed category (17 families) includes non-terminal chronic conditions (anxiety, benign prostatic hyperplasia, depression, dyslipidemia, prostate cancer, rheumatoid arthritis) where energy may reflect healthcare utilization rather than severity, neuropsychiatric conditions (schizophrenia, epilepsy, delirium, Parkinson disease), and conditions with acute or mixed presentation (sepsis, liver cancer, acute renal failure, pneumonia, urinary tract infection, viral hepatitis).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is selected by a landmark design: the first observation window where the full 6 months fall within the patient’s insurance observation period, the window is positive for the index disease, and the patient’s state has a basin assignment. Follow-up time begins at the end of this landmark window, avoiding immortal time bias inherent in selecting the latest observation. However, measuring comorbidity at the first eligible window means that patients who later develop additional comorbidities — or whose energy landscape position changes over time — are characterized by their earliest, not their most informative, state. This may underestimate the energy–mortality association for diseases where comorbidity burden accumulates slowly.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the same restricted population for both panels to ensure comparability; riyouka = 0 patients showed similar or slightly higher hospitalization rates, suggesting that the restriction may underestimate absolute hospitalization burden but is unlikely to reverse the direction of inter-basin differences. Tenth, the relationship between observable_end_ym and the actual time of death for deceased patients has not been formally documented in the data specification; the code uses the coverage end month as the time endpoint for all patients without computing a separate death date. Under the Japanese National Health Insurance and Late-Stage Elderly systems, insurance coverage terminates upon death, so observable_end_ym should approximate the month of death for these enrollees. Among deceased patients, observable_end_ym spans 2014–2022, consistent with individual event timing rather than a uniform dataset cutoff. However, month-level accuracy has not been confirmed with the data provider and should be verified before any analysis requiring exact death dates. Eleventh, while the landmark design requires the selected observation window to fall within the patient’s insurance coverage period, other observation windows in the pipeline (used for trajectory analysis and comorbidity profiles) can extend beyond observable_end_ym. Because claims outside the observable period are excluded from the database by design, these windows may reflect a shorter effective observation period than the nominal 6 months, potentially yielding sparser comorbidity data near the end of coverage.</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February 2022.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Landmark Cox design.</w:t>
      </w:r>
      <w:r>
        <w:t xml:space="preserve"> </w:t>
      </w:r>
      <w:r>
        <w:t xml:space="preserve">Because each patient contributed multiple observation windows, a single representative record per patient was required for clinical outcome analysis. We adopted a landmark design to avoid immortal time bias. For each patient, the first observation window satisfying all of the following criteria was selected as the landmark window: (1) the full 6-month window falls within the patient’s insurance observation period (window_start ≥ observable_start_ym and window_end ≤ observable_end_ym), (2) the window falls within the data coverage period (window_start ≥ 2014/04 and window_end ≤ 2022/02), (3) the window contains at least one claim with an ICD-10 code matching the index disease, and (4) the patient’s state at this window has a basin assignment (basin_id &gt; 0). This record’s state, basin assignment, and energy value served as the patient-level summary. Follow-up time begins at the end of the landmark window (the landmark time origin), not at the start of insurance coverage, ensuring that no survival time accrues before the comorbidity state is measured.</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the landmark window start, and sex is coded as a factor.</w:t>
      </w:r>
    </w:p>
    <w:p>
      <w:pPr>
        <w:pStyle w:val="BodyText"/>
      </w:pPr>
      <w:r>
        <w:rPr>
          <w:i/>
          <w:iCs/>
        </w:rPr>
        <w:t xml:space="preserve">Mortality.</w:t>
      </w:r>
      <w:r>
        <w:t xml:space="preserve"> </w:t>
      </w:r>
      <w:r>
        <w:t xml:space="preserve">The time variable is defined as the interval from the end of the landmark window to the patient’s coverage end (observable_end_ym,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Patients who died before or during the landmark window, or whose coverage ended before the landmark window’s end, were excluded. This restriction excludes approximately 50–60% of patients per disease family (due to death flag availability) plus additional patients excluded by the landmark eligibility criteria,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end of the landmark window. The event is first admission where the DPC primary diagnosis matches the index disease family’s ICD-10 codes. For patients with a qualifying admission after the landmark, the time variable is the interval from the landmark window end to admission. For patients without a qualifying admission, the time variable is the interval from landmark window end to coverage end (observable_end_ym);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within the shibou_flg_riyouka = 1 subpopulation. Both the mortality and hospitalization panels in the paired KM figures use the same analysis population to ensure direct comparability.</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60" w:name="figure-legends"/>
    <w:p>
      <w:pPr>
        <w:pStyle w:val="Heading2"/>
      </w:pPr>
      <w:r>
        <w:t xml:space="preserve">Figure legends</w:t>
      </w:r>
    </w:p>
    <w:bookmarkStart w:id="51"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27 of 51 families for mortality and 35 of 51 for hospitalization.</w:t>
      </w:r>
    </w:p>
    <w:bookmarkEnd w:id="51"/>
    <w:bookmarkStart w:id="52"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bookmarkEnd w:id="52"/>
    <w:bookmarkStart w:id="53"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27 of 51 disease families.</w:t>
      </w:r>
    </w:p>
    <w:bookmarkEnd w:id="53"/>
    <w:bookmarkStart w:id="5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bookmarkEnd w:id="54"/>
    <w:bookmarkStart w:id="55"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87% remain in the same basin throughout follow-up; in 2+ basin diseases, roughly half undergo state transitions. Stable Non-Basin is generally below 3% (median 0.4%). (b) Among deceased patients starting in a basin, a median of 98% had the same basin at first and last observation in 1-basin diseases; this drops to approximately 69% in 3–4 basin diseases, where approximately 30% move to a different basin. This is an endpoint comparison that permits intermediate departures and returns. (c) Among deceased patients starting outside a basin, a median of 74–90% ended in a basin. n = 24 for the 2-basin group, as 2 of 26 two-basin families had no non-basin-starting deceased patients.</w:t>
      </w:r>
    </w:p>
    <w:bookmarkEnd w:id="55"/>
    <w:bookmarkStart w:id="56"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Under the landmark design, Basin 3 has the highest death rate (12.4%) while Basin 2 (8.3%) and Basin 1 (9.2%) have the lowest. The energy–mortality direction is reversed in all four basins (Basin 1: HR = 1.044, Basin 2: HR = 1.684, Basin 3: HR = 1.008, Basin 4: HR = 1.568). (c) Disconnectivity graph. Basin 1 and Basin 3 merge at the lowest connection energy (E = −0.68), indicating energetic adjacency. (d) Temporal basin composition among deceased patients at successive observation positions before the last retained record.</w:t>
      </w:r>
    </w:p>
    <w:bookmarkEnd w:id="56"/>
    <w:bookmarkStart w:id="57" w:name="X2f3d33244a5a2d38140021b3215fc4a242014f9"/>
    <w:p>
      <w:pPr>
        <w:pStyle w:val="Heading3"/>
      </w:pPr>
      <w:r>
        <w:t xml:space="preserve">Figure 7. Dementia — divergent mortality and hospitalization between two basins (Convergent pattern).</w:t>
      </w:r>
    </w:p>
    <w:p>
      <w:pPr>
        <w:pStyle w:val="Compact"/>
        <w:numPr>
          <w:ilvl w:val="0"/>
          <w:numId w:val="1008"/>
        </w:numPr>
      </w:pPr>
      <w:r>
        <w:t xml:space="preserve">Kaplan–Meier curves for mortality (left) and disease-specific hospitalization (right) in the dementia cohort, restricted to patients with death flag data available (shibou_flg_riyouka = 1; n = 449,369 under landmark design), stratified by basin. Basin 1 (n = 183,908) had a death rate of 33.6%, compared with 17.2% in Basin 2 (n = 265,461). The energy–mortality association held in Basin 1 (HR = 0.855) but was reversed in Basin 2 (HR = 1.132). Basin 1 (mean age 83.0) is associated with constipation, xerosis cutis, dermatitis, and heart failure codes. Basin 2 (mean age 80.8) is associated with hypertension, diabetes, and hyperlipidemia codes. Among deceased patients, transition rates between basins are asymmetric: Basin 2→1 = 10.3% vs. Basin 1→2 = 3.9% per step (asymmetry = 0.45); the absolute transition counts (74,996 vs. 51,471 events) confirm net flow toward the higher-mortality basin. Both panels use the same analysis population (shibou_flg_riyouka = 1).</w:t>
      </w:r>
    </w:p>
    <w:bookmarkEnd w:id="57"/>
    <w:bookmarkStart w:id="58"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(Convergent): Basin 1→2 = 3.9%, Basin 2→1 = 10.3%, showing net flow toward Basin 1 (the higher-mortality basin). (b) Thyroid disorder (Structured reversed): 4×4 matrix with moderate asymmetry across basins. (c) Anemia (Progressive): Basin 3→1 = 24.1% vs. Basin 1→3 = 0.2%, approximately a 110:1 ratio in conditional transition probabilities. The absolute transition counts are comparable (5,641 vs. 4,695) because Basin 1 is much larger than Basin 3.</w:t>
      </w:r>
    </w:p>
    <w:bookmarkEnd w:id="58"/>
    <w:bookmarkStart w:id="59"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under the landmark design (n = 148,146), Cox analysis yields HR = 1.143 (95% CI: 1.130–1.157),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59"/>
    <w:bookmarkEnd w:id="60"/>
    <w:bookmarkStart w:id="61"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697"/>
        <w:gridCol w:w="1508"/>
        <w:gridCol w:w="942"/>
        <w:gridCol w:w="1320"/>
        <w:gridCol w:w="565"/>
        <w:gridCol w:w="1885"/>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10</w:t>
            </w:r>
          </w:p>
        </w:tc>
        <w:tc>
          <w:tcPr/>
          <w:p>
            <w:pPr>
              <w:pStyle w:val="Compact"/>
            </w:pPr>
            <w:r>
              <w:t xml:space="preserve">Breast ca., Colorectal ca., ILD, IHD, Liver disease, Lung ca., Metastatic ca., Obesity,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7</w:t>
            </w:r>
          </w:p>
        </w:tc>
        <w:tc>
          <w:tcPr/>
          <w:p>
            <w:pPr>
              <w:pStyle w:val="Compact"/>
            </w:pPr>
            <w:r>
              <w:t xml:space="preserve">Autoimmune conn. tissue, Cirrhosis, COPD, Gout, Hip fracture, Pancreatic ca., TB</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&lt;0.3</w:t>
            </w:r>
          </w:p>
        </w:tc>
        <w:tc>
          <w:tcPr/>
          <w:p>
            <w:pPr>
              <w:pStyle w:val="Compact"/>
            </w:pPr>
            <w:r>
              <w:t xml:space="preserve">3</w:t>
            </w:r>
          </w:p>
        </w:tc>
        <w:tc>
          <w:tcPr/>
          <w:p>
            <w:pPr>
              <w:pStyle w:val="Compact"/>
            </w:pPr>
            <w:r>
              <w:t xml:space="preserve">CKD, HTN, Malnutrition</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0.3–0.6</w:t>
            </w:r>
          </w:p>
        </w:tc>
        <w:tc>
          <w:tcPr/>
          <w:p>
            <w:pPr>
              <w:pStyle w:val="Compact"/>
            </w:pPr>
            <w:r>
              <w:t xml:space="preserve">4</w:t>
            </w:r>
          </w:p>
        </w:tc>
        <w:tc>
          <w:tcPr/>
          <w:p>
            <w:pPr>
              <w:pStyle w:val="Compact"/>
            </w:pPr>
            <w:r>
              <w:t xml:space="preserve">AF, Dementia, Heart failure, Sleep disorders</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&gt;0.6</w:t>
            </w:r>
          </w:p>
        </w:tc>
        <w:tc>
          <w:tcPr/>
          <w:p>
            <w:pPr>
              <w:pStyle w:val="Compact"/>
            </w:pPr>
            <w:r>
              <w:t xml:space="preserve">10</w:t>
            </w:r>
          </w:p>
        </w:tc>
        <w:tc>
          <w:tcPr/>
          <w:p>
            <w:pPr>
              <w:pStyle w:val="Compact"/>
            </w:pPr>
            <w:r>
              <w:t xml:space="preserve">Anemia, Asp. pneumonia, Asthma, Diabetes, Hem. malignancy, IBD, Malignancy, OA, Osteoporosis, Peptic ulcer</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17</w:t>
            </w:r>
          </w:p>
        </w:tc>
        <w:tc>
          <w:tcPr/>
          <w:p>
            <w:pPr>
              <w:pStyle w:val="Compact"/>
            </w:pPr>
            <w:r>
              <w:t xml:space="preserve">AKI, Anxiety, BPH, Delirium, Depression, Dyslipidemia, Epilepsy, Liver ca., Parkinson, Pneumonia, Prostate ca., RA, Schizophrenia, Sepsis, Thyroid, UTI, Viral hepatitis</w:t>
            </w:r>
          </w:p>
        </w:tc>
      </w:tr>
    </w:tbl>
    <w:p>
      <w:pPr>
        <w:pStyle w:val="BodyText"/>
      </w:pPr>
      <w:r>
        <w:t xml:space="preserve">Abbreviations: Exp = Expected direction (HR &lt; 1 in ≥ half of basins; directional consistency, not predictive performance); Rev = Reversed; Asym. = mean pairwise transition asymmetry among deceased patients;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Asymmetry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61"/>
    <w:bookmarkStart w:id="71" w:name="supplementary-figure-legends"/>
    <w:p>
      <w:pPr>
        <w:pStyle w:val="Heading2"/>
      </w:pPr>
      <w:r>
        <w:t xml:space="preserve">Supplementary figure legends</w:t>
      </w:r>
    </w:p>
    <w:bookmarkStart w:id="62"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35 of 51 disease families.</w:t>
      </w:r>
    </w:p>
    <w:bookmarkEnd w:id="62"/>
    <w:bookmarkStart w:id="63"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bookmarkEnd w:id="63"/>
    <w:bookmarkStart w:id="64"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bookmarkEnd w:id="64"/>
    <w:bookmarkStart w:id="65"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bookmarkEnd w:id="65"/>
    <w:bookmarkStart w:id="6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bookmarkEnd w:id="66"/>
    <w:bookmarkStart w:id="67"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bookmarkEnd w:id="67"/>
    <w:bookmarkStart w:id="68"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bookmarkEnd w:id="68"/>
    <w:bookmarkStart w:id="69"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bookmarkEnd w:id="69"/>
    <w:bookmarkStart w:id="70"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2026-10-27T13:37:05Z</dcterms:created>
  <dcterms:modified xsi:type="dcterms:W3CDTF">2026-10-27T13:37:05Z</dcterms:modified>
</cp:coreProperties>
</file>

<file path=docProps/custom.xml><?xml version="1.0" encoding="utf-8"?>
<Properties xmlns="http://schemas.openxmlformats.org/officeDocument/2006/custom-properties" xmlns:vt="http://schemas.openxmlformats.org/officeDocument/2006/docPropsVTypes"/>
</file>