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40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40 of 51 disease families, this criterion was satisfied for mortality. An analogous whole-cohort analysis using disease-specific hospitalization (primary diagnosis matching the index disease’s ICD-10 codes; see Methods) as the endpoint yielded a consistent direction in 42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eleven disease families that did not satisfy the mortality criterion were anxiety (2 basins, 0/2 HR &lt; 1), autoimmune/connective tissue disease (1 basin, 0/1), benign prostatic hyperplasia (3 basins, 0/3), COPD (1 basin, 0/1), dyslipidemia (2 basins, 0/2), liver cancer (3 basins, 1/3), rheumatoid arthritis (2 basins, 0/2), sepsis (3 basins, 0/3), thyroid disorder (4 basins, 1/4), tuberculosis (1 basin, 0/1), and urinary tract infection (3 basins, 1/3). These diseases include a mix of non-terminal chronic conditions with low mortality rates (anxiety, dyslipidemia, benign prostatic hyperplasia) and diseases with acute presentation or high lethality (sepsis, liver cancer).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below 3% across basin-count groups). Second, non-basin states are transient: among deceased patients starting outside a basin, a median of 74–90%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(14 families): Single basin, energy associated with mortality in the expected direction. These diseases — including stroke, ischemic heart disease, colorectal cancer, lung cancer, and pancreatic cancer — have a single stable comorbidity configuration with a clear severity gradient within it.</w:t>
      </w:r>
    </w:p>
    <w:p>
      <w:pPr>
        <w:pStyle w:val="BodyText"/>
      </w:pPr>
      <w:r>
        <w:rPr>
          <w:b/>
          <w:bCs/>
        </w:rPr>
        <w:t xml:space="preserve">Reversed</w:t>
      </w:r>
      <w:r>
        <w:t xml:space="preserve"> </w:t>
      </w:r>
      <w:r>
        <w:t xml:space="preserve">(3 families): Single basin, reversed energy–mortality association. COPD, autoimmune/connective tissue disease, and tuberculosis have a single basin in which lower energy is not associated with worse outcomes.</w:t>
      </w:r>
    </w:p>
    <w:p>
      <w:pPr>
        <w:pStyle w:val="BodyText"/>
      </w:pPr>
      <w:r>
        <w:rPr>
          <w:b/>
          <w:bCs/>
        </w:rPr>
        <w:t xml:space="preserve">Symmetric</w:t>
      </w:r>
      <w:r>
        <w:t xml:space="preserve"> </w:t>
      </w:r>
      <w:r>
        <w:t xml:space="preserve">(6 families): Multiple basins with expected energy–mortality direction and low transition asymmetry (&lt;0.3). CKD, depression, hypertension, malnutrition, and prostate cancer are examples: basins exchange patients at roughly equal rates.</w:t>
      </w:r>
    </w:p>
    <w:p>
      <w:pPr>
        <w:pStyle w:val="BodyText"/>
      </w:pPr>
      <w:r>
        <w:rPr>
          <w:b/>
          <w:bCs/>
        </w:rPr>
        <w:t xml:space="preserve">Convergent</w:t>
      </w:r>
      <w:r>
        <w:t xml:space="preserve"> </w:t>
      </w:r>
      <w:r>
        <w:t xml:space="preserve">(10 families): Multiple basins with expected energy–mortality direction and moderate transition asymmetry (0.3–0.6). Dementia, atrial fibrillation, heart failure, Parkinson disease, and schizophrenia exhibit net directional flow between basins. In dementia, for example, the Basin 2→1 transition rate (10.3% per step) exceeds Basin 1→2 (3.9%), and the absolute transition counts confirm net flow toward the higher-mortality basin (74,996 vs. 51,471 events).</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hematologic malignancy typify this pattern: inter-basin transitions are strongly directional when they occur.</w:t>
      </w:r>
    </w:p>
    <w:p>
      <w:pPr>
        <w:pStyle w:val="BodyText"/>
      </w:pPr>
      <w:r>
        <w:rPr>
          <w:b/>
          <w:bCs/>
        </w:rPr>
        <w:t xml:space="preserve">Structured reversed</w:t>
      </w:r>
      <w:r>
        <w:t xml:space="preserve"> </w:t>
      </w:r>
      <w:r>
        <w:t xml:space="preserve">(8 families): Multiple basins, reversed energy–mortality association. Anxiety, benign prostatic hyperplasia, dyslipidemia, liver cancer, rheumatoid arthritis, sepsis, thyroid disorder, and urinary tract infection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Although only 1 of 4 basins satisfied the expected energy–mortality direction (Structured reversed classification),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Basin 3 had a death rate of 15.2% and Basin 2 had a death rate of 9.0% (Figure 6b). The energy–mortality association was in the expected direction only in Basin 3 (HR = 0.934); the other three basins showed reversed associations.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the absolute transition counts (74,996 Basin 2→1 vs. 51,471 Basin 1→2 events) confirm net flow from Basin 2 toward the higher-mortality Basin 1 (Figure 7; Figure 8a).</w:t>
      </w:r>
    </w:p>
    <w:p>
      <w:pPr>
        <w:pStyle w:val="BodyText"/>
      </w:pPr>
      <w:r>
        <w:t xml:space="preserve">Among patients with death flag data available (shibou_flg_riyouka = 1; n = 480,102; 51.4% of the full cohort), the two basins showed sharply different mortality: Basin 1 (n = 243,941) had a death rate of 38.7%, compared with 13.2% in Basin 2 (n = 233,494) (Figure 7a, left panel). The energy–mortality association held in Basin 1 (HR = 0.780, p &lt; 0.001) but was reversed in Basin 2 (HR = 1.064,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498,636 in the full cohort;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(38.7% vs. 13.2%)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74,996 vs. 51,471 absolute transition events) suggests that some patients in the metabolic basin accumulate frailty-associated comorbidities over time. The reversed energy direction in Basin 2 (HR = 1.064)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24.1%, whereas the probability of Basin 1 to Basin 3 was 0.2% — a ratio of approximately 110:1 in conditional transition probabilities. However, because Basin 1 is much larger, the absolute numbers of transitioning patients were comparable: 5,641 (Basin 3→1) versus 4,695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74,996 vs. 51,471 events) drives moderate asymmetry. In thyroid disorder, moderate asymmetry is apparent across the four basins. In anemia, the conditional probability asymmetry is extreme (~110:1) but the absolute transition counts are comparable (5,641 vs. 4,695).</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(n = 152,290), the single basin had a reversed energy–mortality association (HR = 1.035; 95% CI 1.024–1.046),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74–90%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(~110:1 ratio). In dementia, which exhibits a Convergent pattern, net flow from Basin 2 to Basin 1 (10.3% vs. 3.9% per step; 74,996 vs. 51,471 absolute events)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40 of 51 families for mortality and 42 of 51 for hospitalization, suggesting that the energy–outcome direction holds in a majority but not all disease families. The eleven families failing the mortality criterion include non-terminal chronic conditions where energy may reflect healthcare utilization rather than mortality risk (anxiety, dyslipidemia, benign prostatic hyperplasia, COPD, rheumatoid arthritis, autoimmune/connective tissue disease, urinary tract infection, thyroid disorder) and diseases with acute presentation or high lethality (sepsis, liver cancer, tuberculosis). The presence of non-terminal chronic diseases among the failures suggests that ELA’s ability to construct severity-aligned landscapes depends not only on observation density but also on whether mortality is a primary outcome for the disease family.</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74,996 vs. 51,471 absolute events), with net flow toward Basin 1, which has sharply higher mortality (38.7% vs. 13.2% among death-flag-available patients). The reversed energy–mortality direction in Basin 2 (HR = 1.064)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(8 families) includes non-terminal chronic conditions (anxiety, dyslipidemia, benign prostatic hyperplasia, rheumatoid arthritis) where energy may reflect healthcare utilization rather than severity, as well as conditions with acute or mixed presentation (sepsis, liver cancer).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Spot checks on deceased dementia patients confirmed that this identifier increases monotonically with calendar time, so the representative record corresponds to the patient’s latest observed state, not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Empirically, only 0.5% of deceased dementia patients (619 of 127,544) have observable_end_ym at the dataset end month (2021/07), and the distribution spans 2014–2022, suggesting it reflects individual event timing rather than a uniform dataset cutoff; however, month-level accuracy has not been independently verified. Eleventh, the observation windows used for state assignment are 6-month claim periods that can extend beyond observable_end_ym for some patients. Because claims outside the observable period are excluded from the database by design, these windows may reflect a shorter effective observation period than the nominal 6 months, potentially yielding sparser comorbidity data for the representative state near the end of coverage. This mismatch affects state assignment but not Cox survival time, which uses observable_end_ym directly.</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Spot checks on deceased dementia patients confirmed that row identifiers increase monotonically with calendar time; accordingly, this record corresponds to the patient’s latest observation window and captures the most recent comorbidity state.</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variable is defined as the duration of the patient’s insurance coverage period (observable_end_ym − observable_start_ym,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This restriction excludes approximately 50–60% of patients per disease family,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For patients with a qualifying admission, the time variable is the interval from coverage start to admission. For patients without a qualifying admission, the time variable is the full coverage duration (observable_end_ym − observable_start_ym);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40 of 51 families for mortality and 42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40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87%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74–90%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Basin 3 has the highest death rate (15.2%) while Basin 1 (8.7%) and Basin 2 (9.0%) have the lowest. Only Basin 3 shows the expected energy–mortality direction (HR = 0.934); the other three basins are reversed.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480,102), stratified by basin. Basin 1 (n = 243,941) had a death rate of 38.7%, compared with 13.2% in Basin 2 (n = 233,494). The energy–mortality association held in Basin 1 (HR = 0.780) but was reversed in Basin 2 (HR = 1.064).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the absolute transition counts (74,996 vs. 51,471 events) confirm net flow toward the higher-mortality basin.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24.1% vs. Basin 1→3 = 0.2%, approximately a 110:1 ratio in conditional transition probabilities. The absolute transition counts are comparable (5,641 vs. 4,695)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(n = 152,290), Cox analysis yields HR = 1.035 (95% CI: 1.024–1.046),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14</w:t>
            </w:r>
          </w:p>
        </w:tc>
        <w:tc>
          <w:tcPr/>
          <w:p>
            <w:pPr>
              <w:pStyle w:val="Compact"/>
            </w:pPr>
            <w:r>
              <w:t xml:space="preserve">Breast ca., Cirrhosis, Colorectal ca., Gout, Hip fracture, ILD, IHD, Liver disease, Lung ca., Metastatic ca., Obesity, Pancreatic ca.,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3</w:t>
            </w:r>
          </w:p>
        </w:tc>
        <w:tc>
          <w:tcPr/>
          <w:p>
            <w:pPr>
              <w:pStyle w:val="Compact"/>
            </w:pPr>
            <w:r>
              <w:t xml:space="preserve">Autoimmune conn. tissue, COPD,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6</w:t>
            </w:r>
          </w:p>
        </w:tc>
        <w:tc>
          <w:tcPr/>
          <w:p>
            <w:pPr>
              <w:pStyle w:val="Compact"/>
            </w:pPr>
            <w:r>
              <w:t xml:space="preserve">AKI, CKD, Depression, HTN, Malnutrition, Prostate ca.</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10</w:t>
            </w:r>
          </w:p>
        </w:tc>
        <w:tc>
          <w:tcPr/>
          <w:p>
            <w:pPr>
              <w:pStyle w:val="Compact"/>
            </w:pPr>
            <w:r>
              <w:t xml:space="preserve">AF, Delirium, Dementia, Epilepsy, Heart failure, Parkinson, Pneumonia, Schizophrenia, Sleep disorders, Viral hepatitis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8</w:t>
            </w:r>
          </w:p>
        </w:tc>
        <w:tc>
          <w:tcPr/>
          <w:p>
            <w:pPr>
              <w:pStyle w:val="Compact"/>
            </w:pPr>
            <w:r>
              <w:t xml:space="preserve">Anxiety, BPH, Dyslipidemia, Liver ca., RA, Sepsis, Thyroid, UTI</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2026-10-27T01:45:26Z</dcterms:created>
  <dcterms:modified xsi:type="dcterms:W3CDTF">2026-10-27T01:45:26Z</dcterms:modified>
</cp:coreProperties>
</file>

<file path=docProps/custom.xml><?xml version="1.0" encoding="utf-8"?>
<Properties xmlns="http://schemas.openxmlformats.org/officeDocument/2006/custom-properties" xmlns:vt="http://schemas.openxmlformats.org/officeDocument/2006/docPropsVTypes"/>
</file>