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jc w:val="center"/>
      </w:pPr>
      <w:r>
        <w:rPr>
          <w:rFonts w:ascii="맑은 고딕" w:cs="맑은 고딕" w:eastAsia="맑은 고딕" w:hAnsi="맑은 고딕"/>
          <w:b/>
          <w:bCs/>
          <w:sz w:val="32"/>
          <w:szCs w:val="32"/>
        </w:rPr>
        <w:t xml:space="preserve">베트남 ORISTAR 세일즈 분석 — 경영 요약</w:t>
      </w:r>
    </w:p>
    <w:p>
      <w:pPr>
        <w:spacing w:after="240" w:before="0"/>
        <w:jc w:val="center"/>
      </w:pPr>
      <w:r>
        <w:rPr>
          <w:rFonts w:ascii="맑은 고딕" w:cs="맑은 고딕" w:eastAsia="맑은 고딕" w:hAnsi="맑은 고딕"/>
          <w:color w:val="444444"/>
          <w:sz w:val="20"/>
          <w:szCs w:val="20"/>
        </w:rPr>
        <w:t xml:space="preserve">방문: 2026-06-14~16  |  데이터: 2020~2026 H1  |  대리점: ORISTAR (하노이)</w:t>
      </w:r>
    </w:p>
    <w:p>
      <w:pPr>
        <w:pBdr>
          <w:bottom w:val="single" w:color="333333" w:sz="2"/>
        </w:pBdr>
        <w:spacing w:after="60" w:before="160"/>
      </w:pPr>
      <w:r>
        <w:rPr>
          <w:rFonts w:ascii="맑은 고딕" w:cs="맑은 고딕" w:eastAsia="맑은 고딕" w:hAnsi="맑은 고딕"/>
          <w:b/>
          <w:bCs/>
          <w:sz w:val="22"/>
          <w:szCs w:val="22"/>
        </w:rPr>
        <w:t xml:space="preserve">1. 매출 현황 — ORISTAR향 DSR 납품 (단위: 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3120"/>
      </w:tblGrid>
      <w:tr>
        <w:tc>
          <w:tcPr>
            <w:tcW w:type="dxa" w:w="1560"/>
            <w:tcBorders>
              <w:top w:val="single" w:color="AAAAAA" w:sz="1"/>
              <w:left w:val="single" w:color="AAAAAA" w:sz="1"/>
              <w:bottom w:val="single" w:color="AAAAAA" w:sz="1"/>
              <w:right w:val="single" w:color="AAAAAA" w:sz="1"/>
            </w:tcBorders>
            <w:shd w:fill="DEDEDE" w:val="clear"/>
            <w:tcMar>
              <w:top w:type="dxa" w:w="60"/>
              <w:left w:type="dxa" w:w="100"/>
              <w:bottom w:type="dxa" w:w="60"/>
              <w:right w:type="dxa" w:w="100"/>
            </w:tcMar>
          </w:tcPr>
          <w:p>
            <w:r>
              <w:rPr>
                <w:rFonts w:ascii="맑은 고딕" w:cs="맑은 고딕" w:eastAsia="맑은 고딕" w:hAnsi="맑은 고딕"/>
                <w:b/>
                <w:bCs/>
                <w:sz w:val="18"/>
                <w:szCs w:val="18"/>
              </w:rPr>
              <w:t xml:space="preserve">2022</w:t>
            </w:r>
          </w:p>
        </w:tc>
        <w:tc>
          <w:tcPr>
            <w:tcW w:type="dxa" w:w="1560"/>
            <w:tcBorders>
              <w:top w:val="single" w:color="AAAAAA" w:sz="1"/>
              <w:left w:val="single" w:color="AAAAAA" w:sz="1"/>
              <w:bottom w:val="single" w:color="AAAAAA" w:sz="1"/>
              <w:right w:val="single" w:color="AAAAAA" w:sz="1"/>
            </w:tcBorders>
            <w:shd w:fill="DEDEDE" w:val="clear"/>
            <w:tcMar>
              <w:top w:type="dxa" w:w="60"/>
              <w:left w:type="dxa" w:w="100"/>
              <w:bottom w:type="dxa" w:w="60"/>
              <w:right w:type="dxa" w:w="100"/>
            </w:tcMar>
          </w:tcPr>
          <w:p>
            <w:r>
              <w:rPr>
                <w:rFonts w:ascii="맑은 고딕" w:cs="맑은 고딕" w:eastAsia="맑은 고딕" w:hAnsi="맑은 고딕"/>
                <w:b/>
                <w:bCs/>
                <w:sz w:val="18"/>
                <w:szCs w:val="18"/>
              </w:rPr>
              <w:t xml:space="preserve">2023</w:t>
            </w:r>
          </w:p>
        </w:tc>
        <w:tc>
          <w:tcPr>
            <w:tcW w:type="dxa" w:w="1560"/>
            <w:tcBorders>
              <w:top w:val="single" w:color="AAAAAA" w:sz="1"/>
              <w:left w:val="single" w:color="AAAAAA" w:sz="1"/>
              <w:bottom w:val="single" w:color="AAAAAA" w:sz="1"/>
              <w:right w:val="single" w:color="AAAAAA" w:sz="1"/>
            </w:tcBorders>
            <w:shd w:fill="DEDEDE" w:val="clear"/>
            <w:tcMar>
              <w:top w:type="dxa" w:w="60"/>
              <w:left w:type="dxa" w:w="100"/>
              <w:bottom w:type="dxa" w:w="60"/>
              <w:right w:type="dxa" w:w="100"/>
            </w:tcMar>
          </w:tcPr>
          <w:p>
            <w:r>
              <w:rPr>
                <w:rFonts w:ascii="맑은 고딕" w:cs="맑은 고딕" w:eastAsia="맑은 고딕" w:hAnsi="맑은 고딕"/>
                <w:b/>
                <w:bCs/>
                <w:sz w:val="18"/>
                <w:szCs w:val="18"/>
              </w:rPr>
              <w:t xml:space="preserve">2024</w:t>
            </w:r>
          </w:p>
        </w:tc>
        <w:tc>
          <w:tcPr>
            <w:tcW w:type="dxa" w:w="1560"/>
            <w:tcBorders>
              <w:top w:val="single" w:color="AAAAAA" w:sz="1"/>
              <w:left w:val="single" w:color="AAAAAA" w:sz="1"/>
              <w:bottom w:val="single" w:color="AAAAAA" w:sz="1"/>
              <w:right w:val="single" w:color="AAAAAA" w:sz="1"/>
            </w:tcBorders>
            <w:shd w:fill="DEDEDE" w:val="clear"/>
            <w:tcMar>
              <w:top w:type="dxa" w:w="60"/>
              <w:left w:type="dxa" w:w="100"/>
              <w:bottom w:type="dxa" w:w="60"/>
              <w:right w:type="dxa" w:w="100"/>
            </w:tcMar>
          </w:tcPr>
          <w:p>
            <w:r>
              <w:rPr>
                <w:rFonts w:ascii="맑은 고딕" w:cs="맑은 고딕" w:eastAsia="맑은 고딕" w:hAnsi="맑은 고딕"/>
                <w:b/>
                <w:bCs/>
                <w:sz w:val="18"/>
                <w:szCs w:val="18"/>
              </w:rPr>
              <w:t xml:space="preserve">2025</w:t>
            </w:r>
          </w:p>
        </w:tc>
        <w:tc>
          <w:tcPr>
            <w:tcW w:type="dxa" w:w="3120"/>
            <w:tcBorders>
              <w:top w:val="single" w:color="AAAAAA" w:sz="1"/>
              <w:left w:val="single" w:color="AAAAAA" w:sz="1"/>
              <w:bottom w:val="single" w:color="AAAAAA" w:sz="1"/>
              <w:right w:val="single" w:color="AAAAAA" w:sz="1"/>
            </w:tcBorders>
            <w:shd w:fill="DEDEDE" w:val="clear"/>
            <w:tcMar>
              <w:top w:type="dxa" w:w="60"/>
              <w:left w:type="dxa" w:w="100"/>
              <w:bottom w:type="dxa" w:w="60"/>
              <w:right w:type="dxa" w:w="100"/>
            </w:tcMar>
          </w:tcPr>
          <w:p>
            <w:r>
              <w:rPr>
                <w:rFonts w:ascii="맑은 고딕" w:cs="맑은 고딕" w:eastAsia="맑은 고딕" w:hAnsi="맑은 고딕"/>
                <w:b/>
                <w:bCs/>
                <w:sz w:val="18"/>
                <w:szCs w:val="18"/>
              </w:rPr>
              <w:t xml:space="preserve">2026 H1 → 연환산</w:t>
            </w:r>
          </w:p>
        </w:tc>
      </w:tr>
      <w:tr>
        <w:tc>
          <w:tcPr>
            <w:tcW w:type="dxa" w:w="156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맑은 고딕" w:cs="맑은 고딕" w:eastAsia="맑은 고딕" w:hAnsi="맑은 고딕"/>
                <w:sz w:val="18"/>
                <w:szCs w:val="18"/>
              </w:rPr>
              <w:t xml:space="preserve">307</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282</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351</w:t>
            </w:r>
          </w:p>
        </w:tc>
        <w:tc>
          <w:tcPr>
            <w:tcW w:type="dxa" w:w="1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443</w:t>
            </w:r>
          </w:p>
        </w:tc>
        <w:tc>
          <w:tcPr>
            <w:tcW w:type="dxa" w:w="312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289 → 약 578 (역대 최고 예상)</w:t>
            </w:r>
          </w:p>
        </w:tc>
      </w:tr>
    </w:tbl>
    <w:p>
      <w:pPr>
        <w:spacing w:after="0" w:before="0"/>
      </w:pPr>
      <w:r>
        <w:rPr>
          <w:rFonts w:ascii="맑은 고딕" w:cs="맑은 고딕" w:eastAsia="맑은 고딕" w:hAnsi="맑은 고딕"/>
          <w:b w:val="false"/>
          <w:bCs w:val="false"/>
          <w:sz w:val="19"/>
          <w:szCs w:val="19"/>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5160"/>
      </w:tblGrid>
      <w:tr>
        <w:tc>
          <w:tcPr>
            <w:tcW w:type="dxa" w:w="2800"/>
            <w:tcBorders>
              <w:top w:val="single" w:color="AAAAAA" w:sz="1"/>
              <w:left w:val="single" w:color="AAAAAA" w:sz="1"/>
              <w:bottom w:val="single" w:color="AAAAAA" w:sz="1"/>
              <w:right w:val="single" w:color="AAAAAA" w:sz="1"/>
            </w:tcBorders>
            <w:shd w:fill="DEDEDE" w:val="clear"/>
            <w:tcMar>
              <w:top w:type="dxa" w:w="60"/>
              <w:left w:type="dxa" w:w="100"/>
              <w:bottom w:type="dxa" w:w="60"/>
              <w:right w:type="dxa" w:w="100"/>
            </w:tcMar>
          </w:tcPr>
          <w:p>
            <w:r>
              <w:rPr>
                <w:rFonts w:ascii="맑은 고딕" w:cs="맑은 고딕" w:eastAsia="맑은 고딕" w:hAnsi="맑은 고딕"/>
                <w:b/>
                <w:bCs/>
                <w:sz w:val="18"/>
                <w:szCs w:val="18"/>
              </w:rPr>
              <w:t xml:space="preserve">품목</w:t>
            </w:r>
          </w:p>
        </w:tc>
        <w:tc>
          <w:tcPr>
            <w:tcW w:type="dxa" w:w="1400"/>
            <w:tcBorders>
              <w:top w:val="single" w:color="AAAAAA" w:sz="1"/>
              <w:left w:val="single" w:color="AAAAAA" w:sz="1"/>
              <w:bottom w:val="single" w:color="AAAAAA" w:sz="1"/>
              <w:right w:val="single" w:color="AAAAAA" w:sz="1"/>
            </w:tcBorders>
            <w:shd w:fill="DEDEDE" w:val="clear"/>
            <w:tcMar>
              <w:top w:type="dxa" w:w="60"/>
              <w:left w:type="dxa" w:w="100"/>
              <w:bottom w:type="dxa" w:w="60"/>
              <w:right w:type="dxa" w:w="100"/>
            </w:tcMar>
          </w:tcPr>
          <w:p>
            <w:r>
              <w:rPr>
                <w:rFonts w:ascii="맑은 고딕" w:cs="맑은 고딕" w:eastAsia="맑은 고딕" w:hAnsi="맑은 고딕"/>
                <w:b/>
                <w:bCs/>
                <w:sz w:val="18"/>
                <w:szCs w:val="18"/>
              </w:rPr>
              <w:t xml:space="preserve">2026 H1</w:t>
            </w:r>
          </w:p>
        </w:tc>
        <w:tc>
          <w:tcPr>
            <w:tcW w:type="dxa" w:w="5160"/>
            <w:tcBorders>
              <w:top w:val="single" w:color="AAAAAA" w:sz="1"/>
              <w:left w:val="single" w:color="AAAAAA" w:sz="1"/>
              <w:bottom w:val="single" w:color="AAAAAA" w:sz="1"/>
              <w:right w:val="single" w:color="AAAAAA" w:sz="1"/>
            </w:tcBorders>
            <w:shd w:fill="DEDEDE" w:val="clear"/>
            <w:tcMar>
              <w:top w:type="dxa" w:w="60"/>
              <w:left w:type="dxa" w:w="100"/>
              <w:bottom w:type="dxa" w:w="60"/>
              <w:right w:type="dxa" w:w="100"/>
            </w:tcMar>
          </w:tcPr>
          <w:p>
            <w:r>
              <w:rPr>
                <w:rFonts w:ascii="맑은 고딕" w:cs="맑은 고딕" w:eastAsia="맑은 고딕" w:hAnsi="맑은 고딕"/>
                <w:b/>
                <w:bCs/>
                <w:sz w:val="18"/>
                <w:szCs w:val="18"/>
              </w:rPr>
              <w:t xml:space="preserve">동향</w:t>
            </w:r>
          </w:p>
        </w:tc>
      </w:tr>
      <w:tr>
        <w:tc>
          <w:tcPr>
            <w:tcW w:type="dxa" w:w="28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맑은 고딕" w:cs="맑은 고딕" w:eastAsia="맑은 고딕" w:hAnsi="맑은 고딕"/>
                <w:sz w:val="18"/>
                <w:szCs w:val="18"/>
              </w:rPr>
              <w:t xml:space="preserve">PIANO WIRE (SWP-A/B)</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182톤</w:t>
            </w:r>
          </w:p>
        </w:tc>
        <w:tc>
          <w:tcPr>
            <w:tcW w:type="dxa" w:w="5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2025 연간(137톤) 이미 초과. YANGMIN 대경 WIRE 대량 발주 주도</w:t>
            </w:r>
          </w:p>
        </w:tc>
      </w:tr>
      <w:tr>
        <w:tc>
          <w:tcPr>
            <w:tcW w:type="dxa" w:w="28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맑은 고딕" w:cs="맑은 고딕" w:eastAsia="맑은 고딕" w:hAnsi="맑은 고딕"/>
                <w:sz w:val="18"/>
                <w:szCs w:val="18"/>
              </w:rPr>
              <w:t xml:space="preserve">CR-SI OT WIRE (SWOSC-B)</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57톤</w:t>
            </w:r>
          </w:p>
        </w:tc>
        <w:tc>
          <w:tcPr>
            <w:tcW w:type="dxa" w:w="5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2025 회복 후 소폭 둔화. 수요 동향 지속 모니터링 필요</w:t>
            </w:r>
          </w:p>
        </w:tc>
      </w:tr>
      <w:tr>
        <w:tc>
          <w:tcPr>
            <w:tcW w:type="dxa" w:w="28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맑은 고딕" w:cs="맑은 고딕" w:eastAsia="맑은 고딕" w:hAnsi="맑은 고딕"/>
                <w:sz w:val="18"/>
                <w:szCs w:val="18"/>
              </w:rPr>
              <w:t xml:space="preserve">HW WIRE (SWC/SWB)</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4톤</w:t>
            </w:r>
          </w:p>
        </w:tc>
        <w:tc>
          <w:tcPr>
            <w:tcW w:type="dxa" w:w="5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구조적 감소 지속</w:t>
            </w:r>
          </w:p>
        </w:tc>
      </w:tr>
    </w:tbl>
    <w:p>
      <w:pPr>
        <w:spacing w:after="0" w:before="0"/>
      </w:pPr>
      <w:r>
        <w:rPr>
          <w:rFonts w:ascii="맑은 고딕" w:cs="맑은 고딕" w:eastAsia="맑은 고딕" w:hAnsi="맑은 고딕"/>
          <w:b w:val="false"/>
          <w:bCs w:val="false"/>
          <w:sz w:val="19"/>
          <w:szCs w:val="19"/>
        </w:rPr>
        <w:t xml:space="preserve"/>
      </w:r>
    </w:p>
    <w:p>
      <w:pPr>
        <w:spacing w:after="0" w:before="0"/>
      </w:pPr>
      <w:r>
        <w:rPr>
          <w:rFonts w:ascii="맑은 고딕" w:cs="맑은 고딕" w:eastAsia="맑은 고딕" w:hAnsi="맑은 고딕"/>
          <w:b w:val="false"/>
          <w:bCs w:val="false"/>
          <w:sz w:val="19"/>
          <w:szCs w:val="19"/>
        </w:rPr>
        <w:t xml:space="preserve">2024-2025년 연속 성장에 이어 2026년은 PIANO WIRE의 급격한 수요 확대로 연간 최고치 달성이 유력함. 특히 YANGMIN이 기존 OT WIRE 중심 거래 구조에서 벗어나 대경 PIANO WIRE(3.00-3.50MM)를 대량 발주하기 시작한 것이 핵심 변수로, 이 흐름이 하반기에도 지속되는지 여부가 2026년 전체 실적을 좌우할 것으로 판단됨.</w:t>
      </w:r>
    </w:p>
    <w:p>
      <w:pPr>
        <w:pBdr>
          <w:bottom w:val="single" w:color="333333" w:sz="2"/>
        </w:pBdr>
        <w:spacing w:after="60" w:before="160"/>
      </w:pPr>
      <w:r>
        <w:rPr>
          <w:rFonts w:ascii="맑은 고딕" w:cs="맑은 고딕" w:eastAsia="맑은 고딕" w:hAnsi="맑은 고딕"/>
          <w:b/>
          <w:bCs/>
          <w:sz w:val="22"/>
          <w:szCs w:val="22"/>
        </w:rPr>
        <w:t xml:space="preserve">2. 핵심 거래처 현황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000"/>
        <w:gridCol w:w="6660"/>
      </w:tblGrid>
      <w:tr>
        <w:tc>
          <w:tcPr>
            <w:tcW w:type="dxa" w:w="1700"/>
            <w:tcBorders>
              <w:top w:val="single" w:color="AAAAAA" w:sz="1"/>
              <w:left w:val="single" w:color="AAAAAA" w:sz="1"/>
              <w:bottom w:val="single" w:color="AAAAAA" w:sz="1"/>
              <w:right w:val="single" w:color="AAAAAA" w:sz="1"/>
            </w:tcBorders>
            <w:shd w:fill="DEDEDE" w:val="clear"/>
            <w:tcMar>
              <w:top w:type="dxa" w:w="60"/>
              <w:left w:type="dxa" w:w="100"/>
              <w:bottom w:type="dxa" w:w="60"/>
              <w:right w:type="dxa" w:w="100"/>
            </w:tcMar>
          </w:tcPr>
          <w:p>
            <w:r>
              <w:rPr>
                <w:rFonts w:ascii="맑은 고딕" w:cs="맑은 고딕" w:eastAsia="맑은 고딕" w:hAnsi="맑은 고딕"/>
                <w:b/>
                <w:bCs/>
                <w:sz w:val="18"/>
                <w:szCs w:val="18"/>
              </w:rPr>
              <w:t xml:space="preserve">거래처</w:t>
            </w:r>
          </w:p>
        </w:tc>
        <w:tc>
          <w:tcPr>
            <w:tcW w:type="dxa" w:w="1000"/>
            <w:tcBorders>
              <w:top w:val="single" w:color="AAAAAA" w:sz="1"/>
              <w:left w:val="single" w:color="AAAAAA" w:sz="1"/>
              <w:bottom w:val="single" w:color="AAAAAA" w:sz="1"/>
              <w:right w:val="single" w:color="AAAAAA" w:sz="1"/>
            </w:tcBorders>
            <w:shd w:fill="DEDEDE" w:val="clear"/>
            <w:tcMar>
              <w:top w:type="dxa" w:w="60"/>
              <w:left w:type="dxa" w:w="100"/>
              <w:bottom w:type="dxa" w:w="60"/>
              <w:right w:type="dxa" w:w="100"/>
            </w:tcMar>
          </w:tcPr>
          <w:p>
            <w:r>
              <w:rPr>
                <w:rFonts w:ascii="맑은 고딕" w:cs="맑은 고딕" w:eastAsia="맑은 고딕" w:hAnsi="맑은 고딕"/>
                <w:b/>
                <w:bCs/>
                <w:sz w:val="18"/>
                <w:szCs w:val="18"/>
              </w:rPr>
              <w:t xml:space="preserve">규모</w:t>
            </w:r>
          </w:p>
        </w:tc>
        <w:tc>
          <w:tcPr>
            <w:tcW w:type="dxa" w:w="6660"/>
            <w:tcBorders>
              <w:top w:val="single" w:color="AAAAAA" w:sz="1"/>
              <w:left w:val="single" w:color="AAAAAA" w:sz="1"/>
              <w:bottom w:val="single" w:color="AAAAAA" w:sz="1"/>
              <w:right w:val="single" w:color="AAAAAA" w:sz="1"/>
            </w:tcBorders>
            <w:shd w:fill="DEDEDE" w:val="clear"/>
            <w:tcMar>
              <w:top w:type="dxa" w:w="60"/>
              <w:left w:type="dxa" w:w="100"/>
              <w:bottom w:type="dxa" w:w="60"/>
              <w:right w:type="dxa" w:w="100"/>
            </w:tcMar>
          </w:tcPr>
          <w:p>
            <w:r>
              <w:rPr>
                <w:rFonts w:ascii="맑은 고딕" w:cs="맑은 고딕" w:eastAsia="맑은 고딕" w:hAnsi="맑은 고딕"/>
                <w:b/>
                <w:bCs/>
                <w:sz w:val="18"/>
                <w:szCs w:val="18"/>
              </w:rPr>
              <w:t xml:space="preserve">현황 및 주요 이슈</w:t>
            </w:r>
          </w:p>
        </w:tc>
      </w:tr>
      <w:tr>
        <w:tc>
          <w:tcPr>
            <w:tcW w:type="dxa" w:w="17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맑은 고딕" w:cs="맑은 고딕" w:eastAsia="맑은 고딕" w:hAnsi="맑은 고딕"/>
                <w:sz w:val="18"/>
                <w:szCs w:val="18"/>
              </w:rPr>
              <w:t xml:space="preserve">YANGMIN</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연 ~590톤</w:t>
            </w:r>
          </w:p>
        </w:tc>
        <w:tc>
          <w:tcPr>
            <w:tcW w:type="dxa" w:w="66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SWOSC-B 4.20MM(연환산 192톤) + PIANO WIRE(연환산 400톤)으로 DSR 베트남 최대 거래처 지위 더욱 강화. 단, 2024년 발생한 TH1524 SPRING FORMING 품질 이슈의 해소 여부가 아직 미확인 상태로, 차기 방문 시 반드시 확인이 필요함. KIS·SAMHWA와도 병행 거래 중이어서 경쟁 관계 유지.</w:t>
            </w:r>
          </w:p>
        </w:tc>
      </w:tr>
      <w:tr>
        <w:tc>
          <w:tcPr>
            <w:tcW w:type="dxa" w:w="17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맑은 고딕" w:cs="맑은 고딕" w:eastAsia="맑은 고딕" w:hAnsi="맑은 고딕"/>
                <w:sz w:val="18"/>
                <w:szCs w:val="18"/>
              </w:rPr>
              <w:t xml:space="preserve">ADVANEX VN</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월 10톤+</w:t>
            </w:r>
          </w:p>
        </w:tc>
        <w:tc>
          <w:tcPr>
            <w:tcW w:type="dxa" w:w="66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GENERAL DIRECTOR(NAGUMO) 포함 전체 미팅으로 관계 회복 국면. SWC 2.30MM 오더 재증량 확인. MEDICAL 부문이 전체 포트폴리오의 30% 이상을 차지하며 급성장 중으로 고품질 STS WIRE 수요 확대 기대. 다만 FLAT WIRE CORNER RADIUS 수치 공유 및 클레임 도면 수령 프로세스 수립 등 팔로업 미완료 사항이 남아 있음.</w:t>
            </w:r>
          </w:p>
        </w:tc>
      </w:tr>
      <w:tr>
        <w:tc>
          <w:tcPr>
            <w:tcW w:type="dxa" w:w="17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맑은 고딕" w:cs="맑은 고딕" w:eastAsia="맑은 고딕" w:hAnsi="맑은 고딕"/>
                <w:sz w:val="18"/>
                <w:szCs w:val="18"/>
              </w:rPr>
              <w:t xml:space="preserve">CAMEX</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월 1,200톤</w:t>
            </w:r>
          </w:p>
        </w:tc>
        <w:tc>
          <w:tcPr>
            <w:tcW w:type="dxa" w:w="66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베트남 대형 SPRING 메이커. 현재 DSR 공급은 월 2-3톤으로 진입 초기 단계이나 SUS304 BRIGHT WIRE 월 20톤 신규 INQUIRY 접수로 확대 기회 발생. FORECAST 미제공으로 재고 운용 구조 수립이 선결 과제임.</w:t>
            </w:r>
          </w:p>
        </w:tc>
      </w:tr>
      <w:tr>
        <w:tc>
          <w:tcPr>
            <w:tcW w:type="dxa" w:w="17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맑은 고딕" w:cs="맑은 고딕" w:eastAsia="맑은 고딕" w:hAnsi="맑은 고딕"/>
                <w:sz w:val="18"/>
                <w:szCs w:val="18"/>
              </w:rPr>
              <w:t xml:space="preserve">VINA TAIYO</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월 2톤</w:t>
            </w:r>
          </w:p>
        </w:tc>
        <w:tc>
          <w:tcPr>
            <w:tcW w:type="dxa" w:w="66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DSR 100% 전환 및 4M 등록 완료로 경쟁사 진입이 실질적으로 차단된 안정 거래처. 이번 방문에서 신규 INQUIRY 4건 추가 접수. 태국 공장 연계 수요 확장 가능성도 있음.</w:t>
            </w:r>
          </w:p>
        </w:tc>
      </w:tr>
      <w:tr>
        <w:tc>
          <w:tcPr>
            <w:tcW w:type="dxa" w:w="17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맑은 고딕" w:cs="맑은 고딕" w:eastAsia="맑은 고딕" w:hAnsi="맑은 고딕"/>
                <w:sz w:val="18"/>
                <w:szCs w:val="18"/>
              </w:rPr>
              <w:t xml:space="preserve">GOKO SPRING</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월 25톤</w:t>
            </w:r>
          </w:p>
        </w:tc>
        <w:tc>
          <w:tcPr>
            <w:tcW w:type="dxa" w:w="66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이번 출장에서 신규로 접촉한 잠재 거래처. CANON향 정밀 SPRING 생산으로 일본계 품질 기준이 요구되어 DSR 진입에 유리한 환경. 단, 중국계 JINTU VIETNAM이 동일 품목으로 직접 PRICE LIST를 발송하는 등 시장 침투를 시도 중으로 긴급 대응이 필요함.</w:t>
            </w:r>
          </w:p>
        </w:tc>
      </w:tr>
      <w:tr>
        <w:tc>
          <w:tcPr>
            <w:tcW w:type="dxa" w:w="17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맑은 고딕" w:cs="맑은 고딕" w:eastAsia="맑은 고딕" w:hAnsi="맑은 고딕"/>
                <w:sz w:val="18"/>
                <w:szCs w:val="18"/>
              </w:rPr>
              <w:t xml:space="preserve">MATEX</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연 40톤</w:t>
            </w:r>
          </w:p>
        </w:tc>
        <w:tc>
          <w:tcPr>
            <w:tcW w:type="dxa" w:w="66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SWC G. 품질 이슈 해소 후 DSR 공급 안정화. 그룹 계열사인 필리핀 INATEC CORPORATION(코일링 98대)이 별도 WIRE 조달 채널을 운영 중으로 독립적인 신규 공략 채널로 활용 가능성이 있음.</w:t>
            </w:r>
          </w:p>
        </w:tc>
      </w:tr>
    </w:tbl>
    <w:p>
      <w:pPr>
        <w:spacing w:after="0" w:before="0"/>
      </w:pPr>
      <w:r>
        <w:rPr>
          <w:rFonts w:ascii="맑은 고딕" w:cs="맑은 고딕" w:eastAsia="맑은 고딕" w:hAnsi="맑은 고딕"/>
          <w:b w:val="false"/>
          <w:bCs w:val="false"/>
          <w:sz w:val="19"/>
          <w:szCs w:val="19"/>
        </w:rPr>
        <w:t xml:space="preserve"/>
      </w:r>
    </w:p>
    <w:p>
      <w:pPr>
        <w:spacing w:after="0" w:before="0"/>
      </w:pPr>
      <w:r>
        <w:rPr>
          <w:rFonts w:ascii="맑은 고딕" w:cs="맑은 고딕" w:eastAsia="맑은 고딕" w:hAnsi="맑은 고딕"/>
          <w:b w:val="false"/>
          <w:bCs w:val="false"/>
          <w:sz w:val="19"/>
          <w:szCs w:val="19"/>
        </w:rPr>
        <w:t xml:space="preserve">YANGMIN과 ADVANEX는 이미 DSR의 핵심 매출 기반으로 자리잡고 있으며, CAMEX와 GOKO SPRING은 단기 확대 가능성이 높은 거래처임. 특히 CAMEX는 규모 대비 현재 공급량이 매우 낮아 진입 여지가 크고, GOKO SPRING은 경쟁사 대응 속도가 실적을 결정할 것으로 판단됨.</w:t>
      </w:r>
    </w:p>
    <w:p>
      <w:pPr>
        <w:pBdr>
          <w:bottom w:val="single" w:color="333333" w:sz="2"/>
        </w:pBdr>
        <w:spacing w:after="60" w:before="160"/>
      </w:pPr>
      <w:r>
        <w:rPr>
          <w:rFonts w:ascii="맑은 고딕" w:cs="맑은 고딕" w:eastAsia="맑은 고딕" w:hAnsi="맑은 고딕"/>
          <w:b/>
          <w:bCs/>
          <w:sz w:val="22"/>
          <w:szCs w:val="22"/>
        </w:rPr>
        <w:t xml:space="preserve">3. 신규 개척 우선순위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5960"/>
      </w:tblGrid>
      <w:tr>
        <w:tc>
          <w:tcPr>
            <w:tcW w:type="dxa" w:w="2100"/>
            <w:tcBorders>
              <w:top w:val="single" w:color="AAAAAA" w:sz="1"/>
              <w:left w:val="single" w:color="AAAAAA" w:sz="1"/>
              <w:bottom w:val="single" w:color="AAAAAA" w:sz="1"/>
              <w:right w:val="single" w:color="AAAAAA" w:sz="1"/>
            </w:tcBorders>
            <w:shd w:fill="DEDEDE" w:val="clear"/>
            <w:tcMar>
              <w:top w:type="dxa" w:w="60"/>
              <w:left w:type="dxa" w:w="100"/>
              <w:bottom w:type="dxa" w:w="60"/>
              <w:right w:type="dxa" w:w="100"/>
            </w:tcMar>
          </w:tcPr>
          <w:p>
            <w:r>
              <w:rPr>
                <w:rFonts w:ascii="맑은 고딕" w:cs="맑은 고딕" w:eastAsia="맑은 고딕" w:hAnsi="맑은 고딕"/>
                <w:b/>
                <w:bCs/>
                <w:sz w:val="18"/>
                <w:szCs w:val="18"/>
              </w:rPr>
              <w:t xml:space="preserve">업체</w:t>
            </w:r>
          </w:p>
        </w:tc>
        <w:tc>
          <w:tcPr>
            <w:tcW w:type="dxa" w:w="1300"/>
            <w:tcBorders>
              <w:top w:val="single" w:color="AAAAAA" w:sz="1"/>
              <w:left w:val="single" w:color="AAAAAA" w:sz="1"/>
              <w:bottom w:val="single" w:color="AAAAAA" w:sz="1"/>
              <w:right w:val="single" w:color="AAAAAA" w:sz="1"/>
            </w:tcBorders>
            <w:shd w:fill="DEDEDE" w:val="clear"/>
            <w:tcMar>
              <w:top w:type="dxa" w:w="60"/>
              <w:left w:type="dxa" w:w="100"/>
              <w:bottom w:type="dxa" w:w="60"/>
              <w:right w:type="dxa" w:w="100"/>
            </w:tcMar>
          </w:tcPr>
          <w:p>
            <w:r>
              <w:rPr>
                <w:rFonts w:ascii="맑은 고딕" w:cs="맑은 고딕" w:eastAsia="맑은 고딕" w:hAnsi="맑은 고딕"/>
                <w:b/>
                <w:bCs/>
                <w:sz w:val="18"/>
                <w:szCs w:val="18"/>
              </w:rPr>
              <w:t xml:space="preserve">잠재 규모</w:t>
            </w:r>
          </w:p>
        </w:tc>
        <w:tc>
          <w:tcPr>
            <w:tcW w:type="dxa" w:w="5960"/>
            <w:tcBorders>
              <w:top w:val="single" w:color="AAAAAA" w:sz="1"/>
              <w:left w:val="single" w:color="AAAAAA" w:sz="1"/>
              <w:bottom w:val="single" w:color="AAAAAA" w:sz="1"/>
              <w:right w:val="single" w:color="AAAAAA" w:sz="1"/>
            </w:tcBorders>
            <w:shd w:fill="DEDEDE" w:val="clear"/>
            <w:tcMar>
              <w:top w:type="dxa" w:w="60"/>
              <w:left w:type="dxa" w:w="100"/>
              <w:bottom w:type="dxa" w:w="60"/>
              <w:right w:type="dxa" w:w="100"/>
            </w:tcMar>
          </w:tcPr>
          <w:p>
            <w:r>
              <w:rPr>
                <w:rFonts w:ascii="맑은 고딕" w:cs="맑은 고딕" w:eastAsia="맑은 고딕" w:hAnsi="맑은 고딕"/>
                <w:b/>
                <w:bCs/>
                <w:sz w:val="18"/>
                <w:szCs w:val="18"/>
              </w:rPr>
              <w:t xml:space="preserve">진입 조건 및 현황</w:t>
            </w:r>
          </w:p>
        </w:tc>
      </w:tr>
      <w:tr>
        <w:tc>
          <w:tcPr>
            <w:tcW w:type="dxa" w:w="21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맑은 고딕" w:cs="맑은 고딕" w:eastAsia="맑은 고딕" w:hAnsi="맑은 고딕"/>
                <w:sz w:val="18"/>
                <w:szCs w:val="18"/>
              </w:rPr>
              <w:t xml:space="preserve">LONGTECH PRECISION</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연 300톤</w:t>
            </w:r>
          </w:p>
        </w:tc>
        <w:tc>
          <w:tcPr>
            <w:tcW w:type="dxa" w:w="5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PIANO WIRE 150톤 우선 공략. SWC는 중국산 전환으로 단기 어려움</w:t>
            </w:r>
          </w:p>
        </w:tc>
      </w:tr>
      <w:tr>
        <w:tc>
          <w:tcPr>
            <w:tcW w:type="dxa" w:w="21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맑은 고딕" w:cs="맑은 고딕" w:eastAsia="맑은 고딕" w:hAnsi="맑은 고딕"/>
                <w:sz w:val="18"/>
                <w:szCs w:val="18"/>
              </w:rPr>
              <w:t xml:space="preserve">AIKO SPRING VN</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연 100톤+</w:t>
            </w:r>
          </w:p>
        </w:tc>
        <w:tc>
          <w:tcPr>
            <w:tcW w:type="dxa" w:w="5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SUS304 WPB S-CO 0.20-0.45MM 수요 확인. 가격 경쟁력 확보 + 4M 승인 지원 필요</w:t>
            </w:r>
          </w:p>
        </w:tc>
      </w:tr>
      <w:tr>
        <w:tc>
          <w:tcPr>
            <w:tcW w:type="dxa" w:w="21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맑은 고딕" w:cs="맑은 고딕" w:eastAsia="맑은 고딕" w:hAnsi="맑은 고딕"/>
                <w:sz w:val="18"/>
                <w:szCs w:val="18"/>
              </w:rPr>
              <w:t xml:space="preserve">EAST STAR PRINTING</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연 90톤</w:t>
            </w:r>
          </w:p>
        </w:tc>
        <w:tc>
          <w:tcPr>
            <w:tcW w:type="dxa" w:w="5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SWP-B 60톤 + STS 30톤. 샘플 제공 및 4M 승인 지원으로 진입</w:t>
            </w:r>
          </w:p>
        </w:tc>
      </w:tr>
      <w:tr>
        <w:tc>
          <w:tcPr>
            <w:tcW w:type="dxa" w:w="21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맑은 고딕" w:cs="맑은 고딕" w:eastAsia="맑은 고딕" w:hAnsi="맑은 고딕"/>
                <w:sz w:val="18"/>
                <w:szCs w:val="18"/>
              </w:rPr>
              <w:t xml:space="preserve">JYOHOKU SPRINGS SAIGON</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미확인</w:t>
            </w:r>
          </w:p>
        </w:tc>
        <w:tc>
          <w:tcPr>
            <w:tcW w:type="dxa" w:w="5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한국산 WIRE 수입 B/L 확인됨. ORISTAR 검증 피드백 수령 후 방문</w:t>
            </w:r>
          </w:p>
        </w:tc>
      </w:tr>
      <w:tr>
        <w:tc>
          <w:tcPr>
            <w:tcW w:type="dxa" w:w="21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맑은 고딕" w:cs="맑은 고딕" w:eastAsia="맑은 고딕" w:hAnsi="맑은 고딕"/>
                <w:sz w:val="18"/>
                <w:szCs w:val="18"/>
              </w:rPr>
              <w:t xml:space="preserve">DAEWON PRECISION VN</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미확인</w:t>
            </w:r>
          </w:p>
        </w:tc>
        <w:tc>
          <w:tcPr>
            <w:tcW w:type="dxa" w:w="5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맑은 고딕" w:cs="맑은 고딕" w:eastAsia="맑은 고딕" w:hAnsi="맑은 고딕"/>
                <w:sz w:val="18"/>
                <w:szCs w:val="18"/>
              </w:rPr>
              <w:t xml:space="preserve">HYUNDAI/KIA TIER-1. ORISTAR 검증 피드백 수령 후 방문</w:t>
            </w:r>
          </w:p>
        </w:tc>
      </w:tr>
    </w:tbl>
    <w:p>
      <w:pPr>
        <w:spacing w:after="0" w:before="0"/>
      </w:pPr>
      <w:r>
        <w:rPr>
          <w:rFonts w:ascii="맑은 고딕" w:cs="맑은 고딕" w:eastAsia="맑은 고딕" w:hAnsi="맑은 고딕"/>
          <w:b w:val="false"/>
          <w:bCs w:val="false"/>
          <w:sz w:val="19"/>
          <w:szCs w:val="19"/>
        </w:rPr>
        <w:t xml:space="preserve"/>
      </w:r>
    </w:p>
    <w:p>
      <w:pPr>
        <w:spacing w:after="0" w:before="0"/>
      </w:pPr>
      <w:r>
        <w:rPr>
          <w:rFonts w:ascii="맑은 고딕" w:cs="맑은 고딕" w:eastAsia="맑은 고딕" w:hAnsi="맑은 고딕"/>
          <w:b w:val="false"/>
          <w:bCs w:val="false"/>
          <w:sz w:val="19"/>
          <w:szCs w:val="19"/>
        </w:rPr>
        <w:t xml:space="preserve">LONGTECH는 규모가 크나 중국산 전환이 이미 진행된 상태로 중장기 접근이 현실적임. AIKO SPRING과 EAST STAR는 이번 출장에서 신규 접촉한 업체로 샘플 및 4M 승인 지원을 통한 중장기 진입 전략이 필요함.</w:t>
      </w:r>
    </w:p>
    <w:p>
      <w:pPr>
        <w:pBdr>
          <w:bottom w:val="single" w:color="333333" w:sz="2"/>
        </w:pBdr>
        <w:spacing w:after="60" w:before="160"/>
      </w:pPr>
      <w:r>
        <w:rPr>
          <w:rFonts w:ascii="맑은 고딕" w:cs="맑은 고딕" w:eastAsia="맑은 고딕" w:hAnsi="맑은 고딕"/>
          <w:b/>
          <w:bCs/>
          <w:sz w:val="22"/>
          <w:szCs w:val="22"/>
        </w:rPr>
        <w:t xml:space="preserve">4. ORISTAR 대리점 관리 리스크</w:t>
      </w:r>
    </w:p>
    <w:p>
      <w:pPr>
        <w:spacing w:after="0" w:before="0"/>
      </w:pPr>
      <w:r>
        <w:rPr>
          <w:rFonts w:ascii="맑은 고딕" w:cs="맑은 고딕" w:eastAsia="맑은 고딕" w:hAnsi="맑은 고딕"/>
          <w:b w:val="false"/>
          <w:bCs w:val="false"/>
          <w:sz w:val="19"/>
          <w:szCs w:val="19"/>
        </w:rPr>
        <w:t xml:space="preserve">ORISTAR 내 가장 시급한 인사 리스크는 15년 근속의 구매 담당 MR. VU TRI TOAN의 퇴사 예정으로, 후임 담당자 조기 파악 및 관계 구축이 필요하다. 또한 WIRE 매출이 ORISTAR 전체의 5% 미만에 불과해 ORISTAR 내부 우선순위가 낮은 구조적 문제가 있으며, DSR이 먼저 거래처 개발을 지원하며 동기를 부여하는 접근이 필요하다. 한편 DAICHI(KIS/고려제강 대리점)와 BEKAERT(중국산)이 ORISTAR를 직접 공략 중으로 주요 거래처 정보 정기 공유를 통한 관계 강화가 요구된다.</w:t>
      </w:r>
    </w:p>
    <w:sectPr>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맑은 고딕" w:cs="맑은 고딕" w:eastAsia="맑은 고딕" w:hAnsi="맑은 고딕"/>
        <w:color w:val="888888"/>
        <w:sz w:val="16"/>
        <w:szCs w:val="16"/>
      </w:rPr>
      <w:t xml:space="preserve">2026-06-14  |  DSR — ORISTAR 베트남 세일즈 분석 경영 요약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2026-06-25T08:52:33.792Z</dcterms:created>
  <dcterms:modified xsi:type="dcterms:W3CDTF">2026-06-25T08:52:33.794Z</dcterms:modified>
</cp:coreProperties>
</file>

<file path=docProps/custom.xml><?xml version="1.0" encoding="utf-8"?>
<Properties xmlns="http://schemas.openxmlformats.org/officeDocument/2006/custom-properties" xmlns:vt="http://schemas.openxmlformats.org/officeDocument/2006/docPropsVTypes"/>
</file>