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맑은 고딕" w:cs="맑은 고딕" w:eastAsia="맑은 고딕" w:hAnsi="맑은 고딕"/>
          <w:b/>
          <w:bCs/>
          <w:sz w:val="32"/>
          <w:szCs w:val="32"/>
        </w:rPr>
        <w:t xml:space="preserve">베트남 ORISTAR 세일즈 분석 — 경영 요약</w:t>
      </w:r>
    </w:p>
    <w:p>
      <w:pPr>
        <w:spacing w:after="240" w:before="0"/>
        <w:jc w:val="center"/>
      </w:pPr>
      <w:r>
        <w:rPr>
          <w:rFonts w:ascii="맑은 고딕" w:cs="맑은 고딕" w:eastAsia="맑은 고딕" w:hAnsi="맑은 고딕"/>
          <w:color w:val="444444"/>
          <w:sz w:val="20"/>
          <w:szCs w:val="20"/>
        </w:rPr>
        <w:t xml:space="preserve">방문: 2026-06-14~16  |  데이터: 2020~2026 H1  |  대리점: ORISTAR (하노이)</w:t>
      </w:r>
    </w:p>
    <w:p>
      <w:pPr>
        <w:pBdr>
          <w:bottom w:val="single" w:color="333333" w:sz="2"/>
        </w:pBdr>
        <w:spacing w:after="60" w:before="160"/>
      </w:pPr>
      <w:r>
        <w:rPr>
          <w:rFonts w:ascii="맑은 고딕" w:cs="맑은 고딕" w:eastAsia="맑은 고딕" w:hAnsi="맑은 고딕"/>
          <w:b/>
          <w:bCs/>
          <w:sz w:val="22"/>
          <w:szCs w:val="22"/>
        </w:rPr>
        <w:t xml:space="preserve">1. 매출 현황 — ORISTAR향 DSR 납품 (단위: 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3120"/>
      </w:tblGrid>
      <w:tr>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2022</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2023</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2024</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2025</w:t>
            </w:r>
          </w:p>
        </w:tc>
        <w:tc>
          <w:tcPr>
            <w:tcW w:type="dxa" w:w="312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2026 H1 → 연환산</w:t>
            </w:r>
          </w:p>
        </w:tc>
      </w:tr>
      <w:tr>
        <w:tc>
          <w:tcPr>
            <w:tcW w:type="dxa" w:w="15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307</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282</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351</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443</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289 → 약 578 (역대 최고 예상)</w:t>
            </w:r>
          </w:p>
        </w:tc>
      </w:tr>
    </w:tbl>
    <w:p>
      <w:pPr>
        <w:spacing w:after="0" w:before="0"/>
      </w:pPr>
      <w:r>
        <w:rPr>
          <w:rFonts w:ascii="맑은 고딕" w:cs="맑은 고딕" w:eastAsia="맑은 고딕" w:hAnsi="맑은 고딕"/>
          <w:b w:val="false"/>
          <w:bCs w:val="false"/>
          <w:sz w:val="19"/>
          <w:szCs w:val="19"/>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품목</w:t>
            </w:r>
          </w:p>
        </w:tc>
        <w:tc>
          <w:tcPr>
            <w:tcW w:type="dxa" w:w="14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2026 H1</w:t>
            </w:r>
          </w:p>
        </w:tc>
        <w:tc>
          <w:tcPr>
            <w:tcW w:type="dxa" w:w="51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동향</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PIANO WIRE (SWP-A/B)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182톤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2025 연간(137톤) 이미 초과. YANGMIN 대경 WIRE 대량 발주 주도</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CR-SI OT WIRE (SWOSC-B)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57톤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2025 회복 후 소폭 둔화. 수요 동향 지속 모니터링 필요</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HW WIRE (SWC/SWB)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4톤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구조적 감소 지속</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2024-2025년 연속 성장에 이어 2026년은 PIANO WIRE의 급격한 수요 확대로 연간 최고치 달성이 유력한 상황임. 특히 YANGMIN이 기존 OT WIRE 중심 거래 구조에서 벗어나 대경 PIANO WIRE(3.00-3.50MM)를 대량 발주하기 시작한 것이 핵심 변수로, 이 흐름이 하반기에도 지속되는지 여부가 2026년 전체 실적을 좌우할 것으로 판단됨.</w:t>
      </w:r>
    </w:p>
    <w:p>
      <w:pPr>
        <w:pBdr>
          <w:bottom w:val="single" w:color="333333" w:sz="2"/>
        </w:pBdr>
        <w:spacing w:after="60" w:before="160"/>
      </w:pPr>
      <w:r>
        <w:rPr>
          <w:rFonts w:ascii="맑은 고딕" w:cs="맑은 고딕" w:eastAsia="맑은 고딕" w:hAnsi="맑은 고딕"/>
          <w:b/>
          <w:bCs/>
          <w:sz w:val="22"/>
          <w:szCs w:val="22"/>
        </w:rPr>
        <w:t xml:space="preserve">2. 핵심 거래처 현황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660"/>
      </w:tblGrid>
      <w:tr>
        <w:tc>
          <w:tcPr>
            <w:tcW w:type="dxa" w:w="17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거래처</w:t>
            </w:r>
          </w:p>
        </w:tc>
        <w:tc>
          <w:tcPr>
            <w:tcW w:type="dxa" w:w="10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규모</w:t>
            </w:r>
          </w:p>
        </w:tc>
        <w:tc>
          <w:tcPr>
            <w:tcW w:type="dxa" w:w="66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현황 및 주요 이슈</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YANGMIN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~590톤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SWOSC-B 4.20MM(연환산 192톤) + PIANO WIRE(연환산 400톤)으로 DSR 베트남 최대 거래처 지위 더욱 강화. 단, 2024년 발생한 TH1524 SPRING FORMING 품질 이슈의 해소 여부가 아직 미확인 상태로, 차기 방문 시 반드시 확인이 필요함. KIS·SAMHWA와도 병행 거래 중이어서 경쟁 관계 유지.</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ADVANEX VN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10톤+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GENERAL DIRECTOR(NAGUMO) 포함 전체 미팅으로 관계 회복 국면. SWC 2.30MM 오더 재증량 확인. MEDICAL 부문이 전체 포트폴리오의 30% 이상을 차지하며 급성장 중으로 고품질 STS WIRE 수요 확대 기대. 다만 FLAT WIRE CORNER RADIUS 수치 공유 및 클레임 도면 수령 프로세스 수립 등 팔로업 미완료 사항이 남아 있음.</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CAMEX</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1,200톤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베트남 대형 SPRING 메이커. 현재 DSR 공급은 월 2-3톤으로 진입 초기 단계이나 SUS304 BRIGHT WIRE 월 20톤 신규 INQUIRY 접수로 확대 기회 발생. FORECAST 미제공으로 재고 운용 구조 수립이 선결 과제임.</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VINA TAIYO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2톤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DSR 100% 전환 및 4M 등록 완료로 경쟁사 진입이 실질적으로 차단된 안정 거래처. 이번 방문에서 신규 INQUIRY 4건 추가 접수. 태국 공장 연계 수요 확장 가능성도 있음.</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GOKO SPRING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25톤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이번 출장에서 신규로 접촉한 잠재 거래처. CANON향 정밀 SPRING 생산으로 일본계 품질 기준이 요구되어 DSR 진입에 유리한 환경. 단, 중국계 JINTU VIETNAM이 동일 품목으로 직접 PRICE LIST를 발송하는 등 시장 침투를 시도 중으로 긴급 대응이 필요함.</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MATEX</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40톤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SWC G. 품질 이슈 해소 후 DSR 공급 안정화. 그룹 계열사인 필리핀 INATEC CORPORATION(코일링 98대)이 별도 WIRE 조달 채널을 운영 중으로 독립적인 신규 공략 채널로 활용 가능성이 있음.</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YANGMIN과 ADVANEX는 이미 DSR의 핵심 매출 기반으로 자리잡고 있으며, CAMEX와 GOKO SPRING은 단기 확대 가능성이 높은 거래처임. 특히 CAMEX는 규모 대비 현재 공급량이 매우 낮아 진입 여지가 크고, GOKO SPRING은 경쟁사 대응 속도가 실적을 결정할 것으로 판단됨.</w:t>
      </w:r>
    </w:p>
    <w:p>
      <w:pPr>
        <w:spacing w:after="0" w:before="0"/>
      </w:pPr>
      <w:r>
        <w:rPr>
          <w:rFonts w:ascii="맑은 고딕" w:cs="맑은 고딕" w:eastAsia="맑은 고딕" w:hAnsi="맑은 고딕"/>
          <w:b w:val="false"/>
          <w:bCs w:val="false"/>
          <w:sz w:val="19"/>
          <w:szCs w:val="19"/>
        </w:rPr>
        <w:t xml:space="preserve"/>
      </w:r>
    </w:p>
    <w:p>
      <w:pPr>
        <w:pBdr>
          <w:bottom w:val="single" w:color="333333" w:sz="2"/>
        </w:pBdr>
        <w:spacing w:after="60" w:before="160"/>
      </w:pPr>
      <w:r>
        <w:rPr>
          <w:rFonts w:ascii="맑은 고딕" w:cs="맑은 고딕" w:eastAsia="맑은 고딕" w:hAnsi="맑은 고딕"/>
          <w:b/>
          <w:bCs/>
          <w:sz w:val="22"/>
          <w:szCs w:val="22"/>
        </w:rPr>
        <w:t xml:space="preserve">3. 신규 개척 우선순위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c>
          <w:tcPr>
            <w:tcW w:type="dxa" w:w="21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업체</w:t>
            </w:r>
          </w:p>
        </w:tc>
        <w:tc>
          <w:tcPr>
            <w:tcW w:type="dxa" w:w="13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잠재 규모</w:t>
            </w:r>
          </w:p>
        </w:tc>
        <w:tc>
          <w:tcPr>
            <w:tcW w:type="dxa" w:w="59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진입 조건 및 현황</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LONGTECH PRECISION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300톤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PIANO WIRE 150톤 우선 공략. SWC는 중국산 전환으로 단기 어려움</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AIKO SPRING VN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100톤+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SUS304 WPB S-CO 0.20-0.45MM 수요 확인. 가격 경쟁력 확보 + 4M 승인 지원 필요</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EAST STAR PRINTING</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90톤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SWP-B 60톤 + STS 30톤. 샘플 제공 및 4M 승인 지원으로 진입</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JYOHOKU SPRINGS SAIGON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미확인</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한국산 WIRE 수입 B/L 확인됨. ORISTAR 검증 피드백 수령 후 방문</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DAEWON PRECISION VN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미확인</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HYUNDAI/KIA TIER-1. ORISTAR 검증 피드백 수령 후 방문</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LONGTECH는 규모가 크나 중국산 전환이 이미 진행된 상태로 중장기 접근이 현실적임. AIKO SPRING과 EAST STAR는 이번 출장에서 신규 접촉한 업체로, 샘플 및 4M 승인 지원을 통한 중장기 진입 전략 수립이 필요함.</w:t>
      </w:r>
    </w:p>
    <w:p>
      <w:pPr>
        <w:pBdr>
          <w:bottom w:val="single" w:color="333333" w:sz="2"/>
        </w:pBdr>
        <w:spacing w:after="60" w:before="160"/>
      </w:pPr>
      <w:r>
        <w:rPr>
          <w:rFonts w:ascii="맑은 고딕" w:cs="맑은 고딕" w:eastAsia="맑은 고딕" w:hAnsi="맑은 고딕"/>
          <w:b/>
          <w:bCs/>
          <w:sz w:val="22"/>
          <w:szCs w:val="22"/>
        </w:rPr>
        <w:t xml:space="preserve">4. ORISTAR 대리점 관리 리스크</w:t>
      </w:r>
    </w:p>
    <w:p>
      <w:pPr>
        <w:spacing w:after="0" w:before="0"/>
      </w:pPr>
      <w:r>
        <w:rPr>
          <w:rFonts w:ascii="맑은 고딕" w:cs="맑은 고딕" w:eastAsia="맑은 고딕" w:hAnsi="맑은 고딕"/>
          <w:b w:val="false"/>
          <w:bCs w:val="false"/>
          <w:sz w:val="19"/>
          <w:szCs w:val="19"/>
        </w:rPr>
        <w:t xml:space="preserve">ORISTAR 내 가장 시급한 인사 리스크는 15년 근속의 구매 담당 MR. VU TRI TOAN의 퇴사 예정으로, 후임 담당자 조기 파악 및 관계 구축이 필요함. 또한 WIRE 매출이 ORISTAR 전체의 5% 미만에 불과해 ORISTAR 내부 우선순위가 낮은 구조적 문제가 있으며, DSR이 먼저 거래처 개발을 지원하며 동기를 부여하는 접근이 필요함. 한편 DAICHI(KIS/고려제강 대리점)와 BEKAERT(중국산)이 ORISTAR를 직접 공략 중으로 주요 거래처 정보 정기 공유를 통한 관계 강화가 요구됨.</w:t>
      </w:r>
    </w:p>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888888"/>
        <w:sz w:val="16"/>
        <w:szCs w:val="16"/>
      </w:rPr>
      <w:t xml:space="preserve">2026-06-14  |  DSR — ORISTAR 베트남 세일즈 분석 경영 요약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2026-06-25T08:55:27.200Z</dcterms:created>
  <dcterms:modified xsi:type="dcterms:W3CDTF">2026-06-25T08:55:27.202Z</dcterms:modified>
</cp:coreProperties>
</file>

<file path=docProps/custom.xml><?xml version="1.0" encoding="utf-8"?>
<Properties xmlns="http://schemas.openxmlformats.org/officeDocument/2006/custom-properties" xmlns:vt="http://schemas.openxmlformats.org/officeDocument/2006/docPropsVTypes"/>
</file>