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3BF3" w14:textId="77777777" w:rsidR="00277D40" w:rsidRDefault="00277D40"/>
    <w:p w14:paraId="48B50B47" w14:textId="77777777" w:rsidR="00277D40" w:rsidRDefault="00277D40"/>
    <w:p w14:paraId="647E73B7" w14:textId="77777777" w:rsidR="00277D40" w:rsidRDefault="00277D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485"/>
      </w:tblGrid>
      <w:tr w:rsidR="00277D40" w14:paraId="6710F2A2" w14:textId="77777777">
        <w:tc>
          <w:tcPr>
            <w:tcW w:w="18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3E9" w14:textId="77777777" w:rsidR="00277D40" w:rsidRDefault="00A8432B">
            <w:r>
              <w:rPr>
                <w:b/>
              </w:rPr>
              <w:t xml:space="preserve">Module 1 </w:t>
            </w:r>
          </w:p>
        </w:tc>
        <w:tc>
          <w:tcPr>
            <w:tcW w:w="7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C916" w14:textId="77777777" w:rsidR="00277D40" w:rsidRDefault="00A8432B">
            <w:pPr>
              <w:widowControl w:val="0"/>
              <w:spacing w:line="240" w:lineRule="auto"/>
            </w:pPr>
            <w:r>
              <w:t xml:space="preserve">November 10, 2020, 7-9pm CT </w:t>
            </w:r>
          </w:p>
        </w:tc>
      </w:tr>
      <w:tr w:rsidR="00277D40" w14:paraId="6667F9FB" w14:textId="77777777">
        <w:tc>
          <w:tcPr>
            <w:tcW w:w="18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200D" w14:textId="77777777" w:rsidR="00277D40" w:rsidRDefault="00A8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Topic: </w:t>
            </w:r>
          </w:p>
        </w:tc>
        <w:tc>
          <w:tcPr>
            <w:tcW w:w="7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4C1D" w14:textId="77777777" w:rsidR="00277D40" w:rsidRDefault="00A8432B">
            <w:r>
              <w:t>Foundations of Machine Learning and Data Science for Security</w:t>
            </w:r>
          </w:p>
        </w:tc>
      </w:tr>
      <w:tr w:rsidR="00277D40" w14:paraId="7654035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FF5B" w14:textId="77777777" w:rsidR="00277D40" w:rsidRDefault="00A8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Description: 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127C" w14:textId="77777777" w:rsidR="00277D40" w:rsidRDefault="00A8432B">
            <w:r>
              <w:t>A module focused on machine learning fundamentals, with applications to security. This module will offer an introduction to the data science pipeline, and teach fundamental buildi</w:t>
            </w:r>
            <w:r>
              <w:t xml:space="preserve">ng blocks, from data ingestion and feature engineering to machine learning model selection. </w:t>
            </w:r>
          </w:p>
        </w:tc>
      </w:tr>
      <w:tr w:rsidR="00277D40" w14:paraId="4360962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5C1C" w14:textId="77777777" w:rsidR="00277D40" w:rsidRDefault="00A8432B">
            <w:pPr>
              <w:rPr>
                <w:b/>
              </w:rPr>
            </w:pPr>
            <w:r>
              <w:rPr>
                <w:b/>
              </w:rPr>
              <w:t xml:space="preserve">Faculty Leads: 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56BF" w14:textId="77777777" w:rsidR="00277D40" w:rsidRDefault="00A8432B">
            <w:pPr>
              <w:spacing w:line="240" w:lineRule="auto"/>
              <w:ind w:left="720" w:hanging="360"/>
            </w:pPr>
            <w:r>
              <w:t xml:space="preserve">Yuxin Chen (Lead), Nick </w:t>
            </w:r>
            <w:proofErr w:type="spellStart"/>
            <w:r>
              <w:t>Feamster</w:t>
            </w:r>
            <w:proofErr w:type="spellEnd"/>
            <w:r>
              <w:t xml:space="preserve"> </w:t>
            </w:r>
          </w:p>
        </w:tc>
      </w:tr>
      <w:tr w:rsidR="00277D40" w14:paraId="58D8683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6C6" w14:textId="77777777" w:rsidR="00277D40" w:rsidRDefault="00A8432B">
            <w:pPr>
              <w:rPr>
                <w:b/>
              </w:rPr>
            </w:pPr>
            <w:r>
              <w:rPr>
                <w:b/>
              </w:rPr>
              <w:t>Asynchronous Content: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D1A2" w14:textId="77777777" w:rsidR="00277D40" w:rsidRDefault="00A8432B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highlight w:val="yellow"/>
              </w:rPr>
              <w:t>Pre-course survey</w:t>
            </w:r>
            <w:r>
              <w:t xml:space="preserve"> to understand student background, familiarity with concepts, what problems/topics they are interested learning about. </w:t>
            </w:r>
          </w:p>
          <w:p w14:paraId="448DF650" w14:textId="77777777" w:rsidR="00277D40" w:rsidRDefault="00A8432B">
            <w:pPr>
              <w:numPr>
                <w:ilvl w:val="0"/>
                <w:numId w:val="11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Pre-recorded video lectures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highlight w:val="yellow"/>
              </w:rPr>
              <w:t>(~ 20- 45 mins -- to be watched ahead of sync)</w:t>
            </w:r>
          </w:p>
          <w:p w14:paraId="152F3954" w14:textId="77777777" w:rsidR="00277D40" w:rsidRDefault="00A8432B">
            <w:pPr>
              <w:numPr>
                <w:ilvl w:val="0"/>
                <w:numId w:val="11"/>
              </w:numPr>
              <w:spacing w:line="240" w:lineRule="auto"/>
            </w:pPr>
            <w:r>
              <w:t>Videos are broken up into shorter 5-10 min videos focusing on</w:t>
            </w:r>
            <w:r>
              <w:t xml:space="preserve">: </w:t>
            </w:r>
          </w:p>
          <w:p w14:paraId="4FB702F6" w14:textId="77777777" w:rsidR="00277D40" w:rsidRDefault="00A8432B">
            <w:pPr>
              <w:numPr>
                <w:ilvl w:val="1"/>
                <w:numId w:val="11"/>
              </w:numPr>
            </w:pPr>
            <w:r>
              <w:t>Industry use cases (motivation for concept/topic)</w:t>
            </w:r>
          </w:p>
          <w:p w14:paraId="3AF98117" w14:textId="77777777" w:rsidR="00277D40" w:rsidRDefault="00A8432B">
            <w:pPr>
              <w:numPr>
                <w:ilvl w:val="1"/>
                <w:numId w:val="11"/>
              </w:numPr>
            </w:pPr>
            <w:r>
              <w:t xml:space="preserve">Fundamental concepts </w:t>
            </w:r>
          </w:p>
          <w:p w14:paraId="10DA3483" w14:textId="77777777" w:rsidR="00277D40" w:rsidRDefault="00A8432B">
            <w:pPr>
              <w:numPr>
                <w:ilvl w:val="1"/>
                <w:numId w:val="11"/>
              </w:numPr>
            </w:pPr>
            <w:r>
              <w:t>Applications</w:t>
            </w:r>
          </w:p>
          <w:p w14:paraId="1E1D414F" w14:textId="77777777" w:rsidR="00277D40" w:rsidRDefault="00A8432B">
            <w:pPr>
              <w:numPr>
                <w:ilvl w:val="1"/>
                <w:numId w:val="11"/>
              </w:numPr>
            </w:pPr>
            <w:r>
              <w:t>Failure cases (real-life examples where the application of ML to security has failed and the dangers of such failures)</w:t>
            </w:r>
          </w:p>
          <w:p w14:paraId="635F449F" w14:textId="77777777" w:rsidR="00277D40" w:rsidRDefault="00A8432B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highlight w:val="yellow"/>
              </w:rPr>
              <w:t>Post-video survey/quiz</w:t>
            </w:r>
            <w:r>
              <w:t xml:space="preserve"> to check for understanding</w:t>
            </w:r>
            <w:r>
              <w:t xml:space="preserve">/provide students with opportunity to ask questions that can be answered synchronously in class </w:t>
            </w:r>
          </w:p>
        </w:tc>
      </w:tr>
      <w:tr w:rsidR="00277D40" w14:paraId="5AE7A49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173E" w14:textId="77777777" w:rsidR="00277D40" w:rsidRDefault="00A8432B">
            <w:pPr>
              <w:rPr>
                <w:b/>
              </w:rPr>
            </w:pPr>
            <w:r>
              <w:rPr>
                <w:b/>
              </w:rPr>
              <w:t xml:space="preserve">Synchronous Content: 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472B" w14:textId="77777777" w:rsidR="00277D40" w:rsidRDefault="00A8432B">
            <w:pPr>
              <w:numPr>
                <w:ilvl w:val="0"/>
                <w:numId w:val="12"/>
              </w:numPr>
              <w:spacing w:line="240" w:lineRule="auto"/>
            </w:pPr>
            <w:r>
              <w:t>Group discussion of core concepts and how they relate to students experiences in industry/work</w:t>
            </w:r>
          </w:p>
          <w:p w14:paraId="6AD10573" w14:textId="77777777" w:rsidR="00277D40" w:rsidRDefault="00A8432B">
            <w:pPr>
              <w:numPr>
                <w:ilvl w:val="0"/>
                <w:numId w:val="12"/>
              </w:numPr>
              <w:spacing w:line="240" w:lineRule="auto"/>
            </w:pPr>
            <w:r>
              <w:t xml:space="preserve">Case studies/group work using </w:t>
            </w:r>
            <w:proofErr w:type="spellStart"/>
            <w:r>
              <w:t>jupyter</w:t>
            </w:r>
            <w:proofErr w:type="spellEnd"/>
            <w:r>
              <w:t xml:space="preserve"> notebooks/dummy data to provide hands on experiences with concepts </w:t>
            </w:r>
          </w:p>
          <w:p w14:paraId="6FCB0765" w14:textId="77777777" w:rsidR="00277D40" w:rsidRDefault="00A8432B">
            <w:pPr>
              <w:numPr>
                <w:ilvl w:val="0"/>
                <w:numId w:val="12"/>
              </w:numPr>
              <w:spacing w:line="240" w:lineRule="auto"/>
            </w:pPr>
            <w:r>
              <w:t>Networking -- potentially pair students based on skills</w:t>
            </w:r>
            <w:r>
              <w:t xml:space="preserve">/background </w:t>
            </w:r>
          </w:p>
        </w:tc>
      </w:tr>
    </w:tbl>
    <w:p w14:paraId="03A28BFB" w14:textId="77777777" w:rsidR="00277D40" w:rsidRDefault="00277D40">
      <w:pPr>
        <w:rPr>
          <w:b/>
        </w:rPr>
      </w:pPr>
    </w:p>
    <w:p w14:paraId="0DE0BC1B" w14:textId="77777777" w:rsidR="00277D40" w:rsidRDefault="00A8432B">
      <w:pPr>
        <w:rPr>
          <w:b/>
        </w:rPr>
      </w:pPr>
      <w:r>
        <w:rPr>
          <w:b/>
        </w:rPr>
        <w:t xml:space="preserve">Module 1 Learning Objectives &amp; Module Outline: </w:t>
      </w:r>
    </w:p>
    <w:p w14:paraId="019D19D3" w14:textId="77777777" w:rsidR="00277D40" w:rsidRDefault="00277D40">
      <w:pPr>
        <w:rPr>
          <w:b/>
        </w:rPr>
      </w:pPr>
    </w:p>
    <w:p w14:paraId="02F4681B" w14:textId="77777777" w:rsidR="00277D40" w:rsidRDefault="00A8432B">
      <w:pPr>
        <w:rPr>
          <w:i/>
          <w:u w:val="single"/>
        </w:rPr>
      </w:pPr>
      <w:r>
        <w:rPr>
          <w:i/>
          <w:u w:val="single"/>
        </w:rPr>
        <w:t>Course description</w:t>
      </w:r>
    </w:p>
    <w:p w14:paraId="754A8CFA" w14:textId="77777777" w:rsidR="00277D40" w:rsidRDefault="00A8432B">
      <w:pPr>
        <w:numPr>
          <w:ilvl w:val="0"/>
          <w:numId w:val="1"/>
        </w:numPr>
      </w:pPr>
      <w:r>
        <w:t xml:space="preserve">A module focused on machine learning fundamentals, with applications to security. This module will offer an introduction to the data science pipeline, and teach fundamental </w:t>
      </w:r>
      <w:r>
        <w:t xml:space="preserve">building blocks, from data ingestion and feature engineering to machine learning model selection. </w:t>
      </w:r>
    </w:p>
    <w:p w14:paraId="480F4EDD" w14:textId="77777777" w:rsidR="00277D40" w:rsidRDefault="00277D40">
      <w:pPr>
        <w:rPr>
          <w:b/>
        </w:rPr>
      </w:pPr>
    </w:p>
    <w:p w14:paraId="0E513F24" w14:textId="77777777" w:rsidR="00277D40" w:rsidRDefault="00A8432B">
      <w:r>
        <w:rPr>
          <w:i/>
          <w:u w:val="single"/>
        </w:rPr>
        <w:t>Learning objectives</w:t>
      </w:r>
      <w:r>
        <w:t>:</w:t>
      </w:r>
    </w:p>
    <w:p w14:paraId="5DF00D29" w14:textId="77777777" w:rsidR="00277D40" w:rsidRDefault="00A8432B">
      <w:pPr>
        <w:numPr>
          <w:ilvl w:val="0"/>
          <w:numId w:val="1"/>
        </w:numPr>
      </w:pPr>
      <w:r>
        <w:t>Understand basic machine learning ideas &amp; concepts</w:t>
      </w:r>
    </w:p>
    <w:p w14:paraId="5D35C9DD" w14:textId="77777777" w:rsidR="00277D40" w:rsidRDefault="00A8432B">
      <w:pPr>
        <w:numPr>
          <w:ilvl w:val="0"/>
          <w:numId w:val="1"/>
        </w:numPr>
      </w:pPr>
      <w:r>
        <w:t>Learn to use statistical tools to analyze machine learning models</w:t>
      </w:r>
    </w:p>
    <w:p w14:paraId="738E19AB" w14:textId="77777777" w:rsidR="00277D40" w:rsidRDefault="00A8432B">
      <w:pPr>
        <w:numPr>
          <w:ilvl w:val="0"/>
          <w:numId w:val="1"/>
        </w:numPr>
      </w:pPr>
      <w:r>
        <w:lastRenderedPageBreak/>
        <w:t xml:space="preserve">Understanding the </w:t>
      </w:r>
      <w:r>
        <w:t>role of machine learning in data-driven cybersecurity</w:t>
      </w:r>
    </w:p>
    <w:p w14:paraId="2D7BB506" w14:textId="77777777" w:rsidR="00277D40" w:rsidRDefault="00A8432B">
      <w:pPr>
        <w:numPr>
          <w:ilvl w:val="0"/>
          <w:numId w:val="1"/>
        </w:numPr>
      </w:pPr>
      <w:r>
        <w:t>Have some experience applying machine learning algorithms on cybersecurity applications</w:t>
      </w:r>
    </w:p>
    <w:p w14:paraId="7DDC836A" w14:textId="77777777" w:rsidR="00277D40" w:rsidRDefault="00277D40"/>
    <w:p w14:paraId="0FAA6A5A" w14:textId="77777777" w:rsidR="00277D40" w:rsidRDefault="00277D40"/>
    <w:p w14:paraId="17BEC774" w14:textId="77777777" w:rsidR="00277D40" w:rsidRDefault="00A8432B">
      <w:r>
        <w:rPr>
          <w:i/>
          <w:u w:val="single"/>
        </w:rPr>
        <w:t>Asynchronous video outline</w:t>
      </w:r>
      <w:r>
        <w:t>:</w:t>
      </w:r>
    </w:p>
    <w:p w14:paraId="0CF66EEE" w14:textId="77777777" w:rsidR="00277D40" w:rsidRDefault="00A8432B">
      <w:pPr>
        <w:numPr>
          <w:ilvl w:val="0"/>
          <w:numId w:val="2"/>
        </w:numPr>
      </w:pPr>
      <w:r>
        <w:t>(10 min) Introduction to the statistical learning framework; feature, label, risk and loss function.</w:t>
      </w:r>
    </w:p>
    <w:p w14:paraId="650A665E" w14:textId="77777777" w:rsidR="00277D40" w:rsidRDefault="00A8432B">
      <w:pPr>
        <w:numPr>
          <w:ilvl w:val="0"/>
          <w:numId w:val="2"/>
        </w:numPr>
      </w:pPr>
      <w:r>
        <w:t>(5 min) Bias variance tradeoff, regularization</w:t>
      </w:r>
    </w:p>
    <w:p w14:paraId="5B06100B" w14:textId="77777777" w:rsidR="00277D40" w:rsidRDefault="00A8432B">
      <w:pPr>
        <w:numPr>
          <w:ilvl w:val="0"/>
          <w:numId w:val="2"/>
        </w:numPr>
      </w:pPr>
      <w:r>
        <w:t>(10 min) Introduction to supervised learning, model choices &amp; failure cases;</w:t>
      </w:r>
    </w:p>
    <w:p w14:paraId="12A2656B" w14:textId="77777777" w:rsidR="00277D40" w:rsidRDefault="00A8432B">
      <w:pPr>
        <w:numPr>
          <w:ilvl w:val="1"/>
          <w:numId w:val="2"/>
        </w:numPr>
      </w:pPr>
      <w:r>
        <w:t>logistic regression</w:t>
      </w:r>
    </w:p>
    <w:p w14:paraId="7B19712A" w14:textId="77777777" w:rsidR="00277D40" w:rsidRDefault="00A8432B">
      <w:pPr>
        <w:numPr>
          <w:ilvl w:val="1"/>
          <w:numId w:val="2"/>
        </w:numPr>
      </w:pPr>
      <w:r>
        <w:t>neural netw</w:t>
      </w:r>
      <w:r>
        <w:t>ork</w:t>
      </w:r>
    </w:p>
    <w:p w14:paraId="1A175A69" w14:textId="77777777" w:rsidR="00277D40" w:rsidRDefault="00A8432B">
      <w:pPr>
        <w:numPr>
          <w:ilvl w:val="1"/>
          <w:numId w:val="2"/>
        </w:numPr>
      </w:pPr>
      <w:r>
        <w:t>Example: malware classification</w:t>
      </w:r>
    </w:p>
    <w:p w14:paraId="0CF43541" w14:textId="77777777" w:rsidR="00277D40" w:rsidRDefault="00A8432B">
      <w:pPr>
        <w:numPr>
          <w:ilvl w:val="0"/>
          <w:numId w:val="2"/>
        </w:numPr>
      </w:pPr>
      <w:r>
        <w:t>(10 min) Introduction to unsupervised anomaly detection</w:t>
      </w:r>
    </w:p>
    <w:p w14:paraId="0FABC08E" w14:textId="77777777" w:rsidR="00277D40" w:rsidRDefault="00A8432B">
      <w:pPr>
        <w:numPr>
          <w:ilvl w:val="1"/>
          <w:numId w:val="2"/>
        </w:numPr>
      </w:pPr>
      <w:r>
        <w:t>Generative/ discriminative models</w:t>
      </w:r>
    </w:p>
    <w:p w14:paraId="4B06B511" w14:textId="77777777" w:rsidR="00277D40" w:rsidRDefault="00A8432B">
      <w:pPr>
        <w:numPr>
          <w:ilvl w:val="1"/>
          <w:numId w:val="2"/>
        </w:numPr>
      </w:pPr>
      <w:r>
        <w:t>Example: intrusion detection</w:t>
      </w:r>
    </w:p>
    <w:p w14:paraId="5B5D30D4" w14:textId="77777777" w:rsidR="00277D40" w:rsidRDefault="00277D40">
      <w:pPr>
        <w:rPr>
          <w:b/>
        </w:rPr>
      </w:pPr>
    </w:p>
    <w:p w14:paraId="2127252F" w14:textId="77777777" w:rsidR="00277D40" w:rsidRDefault="00277D40">
      <w:pPr>
        <w:rPr>
          <w:b/>
        </w:rPr>
      </w:pPr>
    </w:p>
    <w:p w14:paraId="75CA52B0" w14:textId="77777777" w:rsidR="00277D40" w:rsidRDefault="00A8432B">
      <w:pPr>
        <w:rPr>
          <w:b/>
        </w:rPr>
      </w:pPr>
      <w:r>
        <w:rPr>
          <w:b/>
        </w:rPr>
        <w:t xml:space="preserve">Module 1: Synchronous Schedule (via Zoom): </w:t>
      </w:r>
    </w:p>
    <w:tbl>
      <w:tblPr>
        <w:tblStyle w:val="a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515"/>
        <w:gridCol w:w="5640"/>
      </w:tblGrid>
      <w:tr w:rsidR="00277D40" w14:paraId="269AB5A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293D" w14:textId="77777777" w:rsidR="00277D40" w:rsidRDefault="00A843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FA60" w14:textId="77777777" w:rsidR="00277D40" w:rsidRDefault="00A8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2065" w14:textId="77777777" w:rsidR="00277D40" w:rsidRDefault="00A8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Notes: </w:t>
            </w:r>
          </w:p>
        </w:tc>
      </w:tr>
      <w:tr w:rsidR="00277D40" w14:paraId="7699C61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D3E8" w14:textId="77777777" w:rsidR="00277D40" w:rsidRDefault="00A8432B">
            <w:pPr>
              <w:widowControl w:val="0"/>
              <w:spacing w:line="240" w:lineRule="auto"/>
            </w:pPr>
            <w:r>
              <w:t>Introduction/</w:t>
            </w:r>
          </w:p>
          <w:p w14:paraId="0A6C2CC6" w14:textId="77777777" w:rsidR="00277D40" w:rsidRDefault="00A8432B">
            <w:pPr>
              <w:widowControl w:val="0"/>
              <w:spacing w:line="240" w:lineRule="auto"/>
            </w:pPr>
            <w:r>
              <w:t xml:space="preserve">Core Concepts Recap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51F6" w14:textId="77777777" w:rsidR="00277D40" w:rsidRDefault="00A8432B">
            <w:pPr>
              <w:widowControl w:val="0"/>
              <w:spacing w:line="240" w:lineRule="auto"/>
            </w:pPr>
            <w:r>
              <w:t>15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46C0" w14:textId="77777777" w:rsidR="00277D40" w:rsidRDefault="00A8432B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Introduction</w:t>
            </w:r>
          </w:p>
          <w:p w14:paraId="5CF5FB4E" w14:textId="77777777" w:rsidR="00277D40" w:rsidRDefault="00A8432B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Recap of basic concepts in videos</w:t>
            </w:r>
          </w:p>
          <w:p w14:paraId="63B6CB15" w14:textId="77777777" w:rsidR="00277D40" w:rsidRDefault="00A8432B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Group discussion about experience with module concepts in industry/work experience </w:t>
            </w:r>
          </w:p>
        </w:tc>
      </w:tr>
      <w:tr w:rsidR="00277D40" w14:paraId="3E90E64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0614" w14:textId="77777777" w:rsidR="00277D40" w:rsidRDefault="00A8432B">
            <w:pPr>
              <w:widowControl w:val="0"/>
              <w:spacing w:line="240" w:lineRule="auto"/>
            </w:pPr>
            <w:r>
              <w:t>Introduction to case study/group work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E1F0" w14:textId="77777777" w:rsidR="00277D40" w:rsidRDefault="00A8432B">
            <w:pPr>
              <w:widowControl w:val="0"/>
              <w:spacing w:line="240" w:lineRule="auto"/>
            </w:pPr>
            <w:r>
              <w:t>5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A8A1" w14:textId="77777777" w:rsidR="00277D40" w:rsidRDefault="00277D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7D40" w14:paraId="30A6A92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128E" w14:textId="77777777" w:rsidR="00277D40" w:rsidRDefault="00A8432B">
            <w:pPr>
              <w:widowControl w:val="0"/>
              <w:spacing w:line="240" w:lineRule="auto"/>
            </w:pPr>
            <w:r>
              <w:t>Simulation/</w:t>
            </w:r>
          </w:p>
          <w:p w14:paraId="4A34B1B8" w14:textId="77777777" w:rsidR="00277D40" w:rsidRDefault="00A8432B">
            <w:pPr>
              <w:widowControl w:val="0"/>
              <w:spacing w:line="240" w:lineRule="auto"/>
            </w:pPr>
            <w:r>
              <w:t>Case study/Group Work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BB68" w14:textId="77777777" w:rsidR="00277D40" w:rsidRDefault="00A8432B">
            <w:pPr>
              <w:widowControl w:val="0"/>
              <w:spacing w:line="240" w:lineRule="auto"/>
            </w:pPr>
            <w:r>
              <w:t>40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5D46" w14:textId="77777777" w:rsidR="00277D40" w:rsidRDefault="00A8432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TBD hands-on lab leveraging virtual case study (</w:t>
            </w:r>
            <w:proofErr w:type="spellStart"/>
            <w:r>
              <w:t>Jupyter</w:t>
            </w:r>
            <w:proofErr w:type="spellEnd"/>
            <w:r>
              <w:t xml:space="preserve"> Notebooks)</w:t>
            </w:r>
          </w:p>
          <w:p w14:paraId="6B030DC2" w14:textId="77777777" w:rsidR="00277D40" w:rsidRDefault="00A8432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Divide students into Zoom breakout rooms </w:t>
            </w:r>
          </w:p>
          <w:p w14:paraId="6F33C8AE" w14:textId="77777777" w:rsidR="00277D40" w:rsidRDefault="00A8432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Pair students based on skill levels </w:t>
            </w:r>
          </w:p>
        </w:tc>
      </w:tr>
      <w:tr w:rsidR="00277D40" w14:paraId="321A007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42D0" w14:textId="77777777" w:rsidR="00277D40" w:rsidRDefault="00A8432B">
            <w:pPr>
              <w:widowControl w:val="0"/>
              <w:spacing w:line="240" w:lineRule="auto"/>
            </w:pPr>
            <w:r>
              <w:t>Break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E7A6" w14:textId="77777777" w:rsidR="00277D40" w:rsidRDefault="00A8432B">
            <w:pPr>
              <w:widowControl w:val="0"/>
              <w:spacing w:line="240" w:lineRule="auto"/>
            </w:pPr>
            <w:r>
              <w:t>10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AD16" w14:textId="77777777" w:rsidR="00277D40" w:rsidRDefault="00277D40">
            <w:pPr>
              <w:widowControl w:val="0"/>
              <w:spacing w:line="240" w:lineRule="auto"/>
            </w:pPr>
          </w:p>
        </w:tc>
      </w:tr>
      <w:tr w:rsidR="00277D40" w14:paraId="59210C3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4035" w14:textId="77777777" w:rsidR="00277D40" w:rsidRDefault="00A8432B">
            <w:pPr>
              <w:widowControl w:val="0"/>
              <w:spacing w:line="240" w:lineRule="auto"/>
            </w:pPr>
            <w:r>
              <w:t>Discussion/</w:t>
            </w:r>
          </w:p>
          <w:p w14:paraId="2158FCB5" w14:textId="77777777" w:rsidR="00277D40" w:rsidRDefault="00A8432B">
            <w:pPr>
              <w:widowControl w:val="0"/>
              <w:spacing w:line="240" w:lineRule="auto"/>
            </w:pPr>
            <w:r>
              <w:t xml:space="preserve">Wrap up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8238" w14:textId="77777777" w:rsidR="00277D40" w:rsidRDefault="00A8432B">
            <w:pPr>
              <w:widowControl w:val="0"/>
              <w:spacing w:line="240" w:lineRule="auto"/>
            </w:pPr>
            <w:r>
              <w:t>20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8FB6" w14:textId="77777777" w:rsidR="00277D40" w:rsidRDefault="00277D40">
            <w:pPr>
              <w:widowControl w:val="0"/>
              <w:spacing w:line="240" w:lineRule="auto"/>
            </w:pPr>
          </w:p>
        </w:tc>
      </w:tr>
      <w:tr w:rsidR="00277D40" w14:paraId="4E78E83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5E50" w14:textId="77777777" w:rsidR="00277D40" w:rsidRDefault="00A8432B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Networking Opportunity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1613" w14:textId="77777777" w:rsidR="00277D40" w:rsidRDefault="00A8432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30 min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D023" w14:textId="77777777" w:rsidR="00277D40" w:rsidRDefault="00A8432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TBD Virtual Happy Hour /speed meet-a-thon</w:t>
            </w:r>
          </w:p>
          <w:p w14:paraId="2F89A482" w14:textId="77777777" w:rsidR="00277D40" w:rsidRDefault="00A8432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Potentially led by class facilitator? </w:t>
            </w:r>
          </w:p>
        </w:tc>
      </w:tr>
    </w:tbl>
    <w:p w14:paraId="288A7643" w14:textId="77777777" w:rsidR="00277D40" w:rsidRDefault="00277D40">
      <w:pPr>
        <w:rPr>
          <w:b/>
        </w:rPr>
      </w:pPr>
    </w:p>
    <w:sectPr w:rsidR="00277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7EA"/>
    <w:multiLevelType w:val="multilevel"/>
    <w:tmpl w:val="45C8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A6098"/>
    <w:multiLevelType w:val="multilevel"/>
    <w:tmpl w:val="E90893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0005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B7B68"/>
    <w:multiLevelType w:val="multilevel"/>
    <w:tmpl w:val="128A8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B50B7"/>
    <w:multiLevelType w:val="multilevel"/>
    <w:tmpl w:val="A6DA8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328CE"/>
    <w:multiLevelType w:val="multilevel"/>
    <w:tmpl w:val="399C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07C4E"/>
    <w:multiLevelType w:val="multilevel"/>
    <w:tmpl w:val="45C4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E06AA6"/>
    <w:multiLevelType w:val="multilevel"/>
    <w:tmpl w:val="753A9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A4F20"/>
    <w:multiLevelType w:val="multilevel"/>
    <w:tmpl w:val="A5FE8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611937"/>
    <w:multiLevelType w:val="multilevel"/>
    <w:tmpl w:val="233C1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1573CD"/>
    <w:multiLevelType w:val="multilevel"/>
    <w:tmpl w:val="C464B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90013"/>
    <w:multiLevelType w:val="multilevel"/>
    <w:tmpl w:val="21AAE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C559C8"/>
    <w:multiLevelType w:val="multilevel"/>
    <w:tmpl w:val="0B8A2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40"/>
    <w:rsid w:val="00277D40"/>
    <w:rsid w:val="00A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4FEF"/>
  <w15:docId w15:val="{4CE2FB72-3780-5744-A9CA-611D72B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Yuxin Chen</cp:lastModifiedBy>
  <cp:revision>2</cp:revision>
  <dcterms:created xsi:type="dcterms:W3CDTF">2020-09-21T05:28:00Z</dcterms:created>
  <dcterms:modified xsi:type="dcterms:W3CDTF">2020-09-21T05:29:00Z</dcterms:modified>
</cp:coreProperties>
</file>