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48374" w14:textId="16B3B5A3" w:rsidR="008C4964" w:rsidRDefault="004A164B">
      <w:pPr>
        <w:rPr>
          <w:b/>
        </w:rPr>
      </w:pPr>
      <w:r>
        <w:rPr>
          <w:b/>
        </w:rPr>
        <w:t>Chapter 6</w:t>
      </w:r>
    </w:p>
    <w:p w14:paraId="074BE7B0" w14:textId="4DBC7776" w:rsidR="004A164B" w:rsidRDefault="00B33D30" w:rsidP="004A164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7FC6FF" wp14:editId="70BBD020">
            <wp:simplePos x="0" y="0"/>
            <wp:positionH relativeFrom="margin">
              <wp:posOffset>0</wp:posOffset>
            </wp:positionH>
            <wp:positionV relativeFrom="paragraph">
              <wp:posOffset>3315173</wp:posOffset>
            </wp:positionV>
            <wp:extent cx="6857365" cy="254063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6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E2E">
        <w:rPr>
          <w:noProof/>
        </w:rPr>
        <w:drawing>
          <wp:anchor distT="0" distB="0" distL="114300" distR="114300" simplePos="0" relativeHeight="251662336" behindDoc="0" locked="0" layoutInCell="1" allowOverlap="1" wp14:anchorId="0D5614C7" wp14:editId="04B2E812">
            <wp:simplePos x="0" y="0"/>
            <wp:positionH relativeFrom="margin">
              <wp:align>right</wp:align>
            </wp:positionH>
            <wp:positionV relativeFrom="paragraph">
              <wp:posOffset>5891767</wp:posOffset>
            </wp:positionV>
            <wp:extent cx="6858000" cy="2527699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7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E2E">
        <w:rPr>
          <w:noProof/>
        </w:rPr>
        <w:drawing>
          <wp:anchor distT="0" distB="0" distL="114300" distR="114300" simplePos="0" relativeHeight="251660288" behindDoc="0" locked="0" layoutInCell="1" allowOverlap="1" wp14:anchorId="036FC150" wp14:editId="1C77E867">
            <wp:simplePos x="0" y="0"/>
            <wp:positionH relativeFrom="margin">
              <wp:align>right</wp:align>
            </wp:positionH>
            <wp:positionV relativeFrom="paragraph">
              <wp:posOffset>819755</wp:posOffset>
            </wp:positionV>
            <wp:extent cx="6858000" cy="25279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A52">
        <w:t>To answer the following questio</w:t>
      </w:r>
      <w:r w:rsidR="00134DD9">
        <w:t xml:space="preserve">ns, I plotted different models </w:t>
      </w:r>
      <w:r w:rsidR="001D6E73">
        <w:t xml:space="preserve">that analyzed whether risk-free rates are equal to </w:t>
      </w:r>
      <w:r w:rsidR="00D80279">
        <w:t xml:space="preserve">real rates plus inflation, plus </w:t>
      </w:r>
      <w:r w:rsidR="002558AC">
        <w:t>an inflation variance penalty, and/or plus an inflation surprise. The following plots show the differences of these models</w:t>
      </w:r>
      <w:r w:rsidR="008C25D4">
        <w:t>, and the “</w:t>
      </w:r>
      <w:proofErr w:type="spellStart"/>
      <w:r w:rsidR="008C25D4">
        <w:t>BestModel</w:t>
      </w:r>
      <w:proofErr w:type="spellEnd"/>
      <w:r w:rsidR="008C25D4">
        <w:t>” line (red) i</w:t>
      </w:r>
      <w:r w:rsidR="00B52BBB">
        <w:t xml:space="preserve">ncludes </w:t>
      </w:r>
      <w:proofErr w:type="gramStart"/>
      <w:r w:rsidR="00B52BBB">
        <w:t>all of</w:t>
      </w:r>
      <w:proofErr w:type="gramEnd"/>
      <w:r w:rsidR="00B52BBB">
        <w:t xml:space="preserve"> the previous 3 components (i.e. this is equation 6.25)</w:t>
      </w:r>
      <w:r w:rsidR="00C46E2E" w:rsidRPr="00C46E2E">
        <w:rPr>
          <w:noProof/>
        </w:rPr>
        <w:t xml:space="preserve"> </w:t>
      </w:r>
    </w:p>
    <w:p w14:paraId="6D6D4C8F" w14:textId="2BA30FB9" w:rsidR="00B33D30" w:rsidRDefault="00B33D30" w:rsidP="00B33D30"/>
    <w:p w14:paraId="299EF976" w14:textId="27BBBEC7" w:rsidR="00B33D30" w:rsidRDefault="00FC642E" w:rsidP="00B33D30">
      <w:r w:rsidRPr="00154FD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3FB9AD1" wp14:editId="1F7FA23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4064000" cy="8477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5AAAA" w14:textId="3546702D" w:rsidR="00B33D30" w:rsidRDefault="003E6EB7" w:rsidP="00B33D30">
      <w:r>
        <w:t>Here is a summary table of the means of each model, per Treasury expiration</w:t>
      </w:r>
      <w:r w:rsidR="00FC642E">
        <w:t xml:space="preserve"> (Y02, Y05, Y10).</w:t>
      </w:r>
    </w:p>
    <w:p w14:paraId="6A4A3DC5" w14:textId="77777777" w:rsidR="0004507A" w:rsidRDefault="0004507A" w:rsidP="00B33D30"/>
    <w:p w14:paraId="2ADDA29E" w14:textId="4B216C1F" w:rsidR="00FC642E" w:rsidRDefault="0004507A" w:rsidP="00B33D30">
      <w:r>
        <w:t xml:space="preserve">As we can see from the plots and the summary table, </w:t>
      </w:r>
      <w:r w:rsidR="00925429">
        <w:t xml:space="preserve">RF-rates are not equal to real rates + inflation. </w:t>
      </w:r>
      <w:r w:rsidR="00EA389E">
        <w:t xml:space="preserve">When an inflation surprise is added to the model, </w:t>
      </w:r>
      <w:r w:rsidR="008E55DA">
        <w:t>the result is a much closer approximation than if we just used real rates + inflation, but there is still</w:t>
      </w:r>
      <w:r w:rsidR="00096967">
        <w:t xml:space="preserve"> room for improvement.  When a variance penalty is added in addition to </w:t>
      </w:r>
      <w:r w:rsidR="00A40906">
        <w:t xml:space="preserve">the previous components, this results in a MUCH better model and approximation of RF-rates, but again, this is still not perfect. </w:t>
      </w:r>
      <w:r w:rsidR="002553F8">
        <w:t>Still, this model</w:t>
      </w:r>
      <w:r w:rsidR="00A40906">
        <w:t xml:space="preserve"> is still significantly better than the </w:t>
      </w:r>
      <w:proofErr w:type="spellStart"/>
      <w:r w:rsidR="00A40906">
        <w:t>EiEr</w:t>
      </w:r>
      <w:proofErr w:type="spellEnd"/>
      <w:r w:rsidR="002553F8">
        <w:t xml:space="preserve">, MoM inflation, and Inflation-Surprise models. </w:t>
      </w:r>
    </w:p>
    <w:p w14:paraId="564E6E2F" w14:textId="41988379" w:rsidR="00601F78" w:rsidRDefault="00B323F3" w:rsidP="00B33D30">
      <w:r>
        <w:t>The data implies that th</w:t>
      </w:r>
      <w:r w:rsidR="00C8431E">
        <w:t>ere is a lot of uncertainty about inflation. We know this to be true from class</w:t>
      </w:r>
      <w:r w:rsidR="006F1432">
        <w:t xml:space="preserve">, as many leading analysts and wizards </w:t>
      </w:r>
      <w:r w:rsidR="00AB59A9">
        <w:t xml:space="preserve">still don’t have a sure-fire model to predict inflation. </w:t>
      </w:r>
      <w:proofErr w:type="gramStart"/>
      <w:r w:rsidR="00AB59A9">
        <w:t>In particular, I</w:t>
      </w:r>
      <w:proofErr w:type="gramEnd"/>
      <w:r w:rsidR="00AB59A9">
        <w:t xml:space="preserve"> remember the story of the machine learning group that wanted to “tackle”</w:t>
      </w:r>
      <w:r w:rsidR="00445323">
        <w:t xml:space="preserve"> this problem through algorithms and </w:t>
      </w:r>
      <w:r w:rsidR="0073415B">
        <w:t xml:space="preserve">failed (in a pretty embarrassing manner, I might add). </w:t>
      </w:r>
    </w:p>
    <w:p w14:paraId="7DF239A9" w14:textId="7F8B4980" w:rsidR="001D082A" w:rsidRDefault="00674352" w:rsidP="00B33D30">
      <w:r>
        <w:rPr>
          <w:noProof/>
        </w:rPr>
        <w:drawing>
          <wp:anchor distT="0" distB="0" distL="114300" distR="114300" simplePos="0" relativeHeight="251665408" behindDoc="0" locked="0" layoutInCell="1" allowOverlap="1" wp14:anchorId="6DFB0F19" wp14:editId="1D8FAD69">
            <wp:simplePos x="0" y="0"/>
            <wp:positionH relativeFrom="margin">
              <wp:align>right</wp:align>
            </wp:positionH>
            <wp:positionV relativeFrom="paragraph">
              <wp:posOffset>2903413</wp:posOffset>
            </wp:positionV>
            <wp:extent cx="6854825" cy="2527935"/>
            <wp:effectExtent l="0" t="0" r="3175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64B">
        <w:rPr>
          <w:noProof/>
        </w:rPr>
        <w:drawing>
          <wp:anchor distT="0" distB="0" distL="114300" distR="114300" simplePos="0" relativeHeight="251667456" behindDoc="0" locked="0" layoutInCell="1" allowOverlap="1" wp14:anchorId="17906176" wp14:editId="6C91FDC2">
            <wp:simplePos x="0" y="0"/>
            <wp:positionH relativeFrom="column">
              <wp:posOffset>4113889</wp:posOffset>
            </wp:positionH>
            <wp:positionV relativeFrom="paragraph">
              <wp:posOffset>793419</wp:posOffset>
            </wp:positionV>
            <wp:extent cx="2073275" cy="288925"/>
            <wp:effectExtent l="0" t="0" r="317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2B00CE6" wp14:editId="775F2BE4">
            <wp:simplePos x="0" y="0"/>
            <wp:positionH relativeFrom="margin">
              <wp:align>left</wp:align>
            </wp:positionH>
            <wp:positionV relativeFrom="paragraph">
              <wp:posOffset>586243</wp:posOffset>
            </wp:positionV>
            <wp:extent cx="6854825" cy="2527935"/>
            <wp:effectExtent l="0" t="0" r="3175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BFD" w:rsidRPr="004A164B">
        <w:rPr>
          <w:noProof/>
        </w:rPr>
        <w:drawing>
          <wp:anchor distT="0" distB="0" distL="114300" distR="114300" simplePos="0" relativeHeight="251672576" behindDoc="0" locked="0" layoutInCell="1" allowOverlap="1" wp14:anchorId="2F4D4BC0" wp14:editId="46D28296">
            <wp:simplePos x="0" y="0"/>
            <wp:positionH relativeFrom="column">
              <wp:posOffset>4091995</wp:posOffset>
            </wp:positionH>
            <wp:positionV relativeFrom="paragraph">
              <wp:posOffset>3099352</wp:posOffset>
            </wp:positionV>
            <wp:extent cx="2073275" cy="288925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B50">
        <w:t xml:space="preserve">We can see this uncertainty </w:t>
      </w:r>
      <w:r w:rsidR="000C7B0D">
        <w:t>by plotting different constant-maturity</w:t>
      </w:r>
      <w:r w:rsidR="00724D8F">
        <w:t xml:space="preserve"> Treasur</w:t>
      </w:r>
      <w:r w:rsidR="00D57D09">
        <w:t xml:space="preserve">ies against the surprise in inflation, </w:t>
      </w:r>
      <w:r w:rsidR="002B4E7C">
        <w:t xml:space="preserve">such as the T5Y and T10Y plots below. </w:t>
      </w:r>
      <w:r w:rsidR="00820418">
        <w:t>Notice the huge difference in inflation surprise vs the T yields during the 2008 Financia</w:t>
      </w:r>
      <w:r w:rsidR="00601F78">
        <w:t xml:space="preserve">l </w:t>
      </w:r>
      <w:r w:rsidR="00820418">
        <w:t>Cris</w:t>
      </w:r>
      <w:r w:rsidR="00601F78">
        <w:t>is</w:t>
      </w:r>
      <w:r w:rsidR="003F03BB">
        <w:t xml:space="preserve">. </w:t>
      </w:r>
      <w:r w:rsidR="009A6D06">
        <w:t xml:space="preserve">We can see the volatility/uncertainty </w:t>
      </w:r>
      <w:r>
        <w:t xml:space="preserve">of inflation </w:t>
      </w:r>
      <w:r w:rsidR="009A6D06">
        <w:t>in many periods, including the early 2000s and</w:t>
      </w:r>
      <w:r>
        <w:t xml:space="preserve"> in 2014-2015.</w:t>
      </w:r>
    </w:p>
    <w:p w14:paraId="2489BC81" w14:textId="0D91D9AE" w:rsidR="00B33D30" w:rsidRDefault="00B33D30" w:rsidP="00B33D30"/>
    <w:p w14:paraId="5FE24578" w14:textId="04E92709" w:rsidR="00B33D30" w:rsidRDefault="00B33D30" w:rsidP="00B33D30"/>
    <w:p w14:paraId="595CE3EF" w14:textId="4A79DD5C" w:rsidR="00B33D30" w:rsidRDefault="00B33D30" w:rsidP="00B33D30"/>
    <w:p w14:paraId="28A21FA7" w14:textId="3A7A026C" w:rsidR="005B3C90" w:rsidRDefault="005B3C90" w:rsidP="0067435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3D094A7" wp14:editId="44265639">
            <wp:simplePos x="0" y="0"/>
            <wp:positionH relativeFrom="margin">
              <wp:posOffset>5285105</wp:posOffset>
            </wp:positionH>
            <wp:positionV relativeFrom="paragraph">
              <wp:posOffset>575945</wp:posOffset>
            </wp:positionV>
            <wp:extent cx="1250315" cy="723265"/>
            <wp:effectExtent l="0" t="0" r="698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852">
        <w:t xml:space="preserve">Following the suggestion of </w:t>
      </w:r>
      <w:proofErr w:type="spellStart"/>
      <w:r w:rsidR="00CC5852">
        <w:t>Ravn</w:t>
      </w:r>
      <w:proofErr w:type="spellEnd"/>
      <w:r w:rsidR="00CC5852">
        <w:t xml:space="preserve"> and Uhlig,</w:t>
      </w:r>
      <w:r w:rsidR="00683614">
        <w:t xml:space="preserve"> a penalty of 6.25(observations/year)</w:t>
      </w:r>
      <w:r w:rsidR="002D16B5">
        <w:rPr>
          <w:vertAlign w:val="superscript"/>
        </w:rPr>
        <w:t>4</w:t>
      </w:r>
      <w:r w:rsidR="002D16B5">
        <w:t xml:space="preserve"> was used as the curvature penalty for the monthly data.</w:t>
      </w:r>
      <w:r w:rsidR="00F5571F">
        <w:t xml:space="preserve"> After writing the for-loop to do this prediction, I plotted</w:t>
      </w:r>
      <w:r w:rsidR="00E813FE">
        <w:t xml:space="preserve"> the prediction vs. the CPI index, which is displayed below</w:t>
      </w:r>
      <w:r w:rsidR="00B83543">
        <w:t>.</w:t>
      </w:r>
      <w:r w:rsidR="00100DED">
        <w:t xml:space="preserve"> </w:t>
      </w:r>
      <w:r w:rsidR="00751CFE">
        <w:t>The prediction’s mean error and mean squared error is:</w:t>
      </w:r>
    </w:p>
    <w:p w14:paraId="5307C0BA" w14:textId="5D41A594" w:rsidR="00B33D30" w:rsidRDefault="005B3C90" w:rsidP="005B3C90">
      <w:r>
        <w:br/>
      </w:r>
      <w:r w:rsidR="00751CFE">
        <w:t xml:space="preserve"> </w:t>
      </w:r>
    </w:p>
    <w:p w14:paraId="3DA2EDC0" w14:textId="67569C6F" w:rsidR="003654EF" w:rsidRDefault="003654EF" w:rsidP="00B33D3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8151962" wp14:editId="00BC48C3">
            <wp:simplePos x="0" y="0"/>
            <wp:positionH relativeFrom="margin">
              <wp:align>left</wp:align>
            </wp:positionH>
            <wp:positionV relativeFrom="paragraph">
              <wp:posOffset>224956</wp:posOffset>
            </wp:positionV>
            <wp:extent cx="6845935" cy="252793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21389" w14:textId="136EC9D4" w:rsidR="00B33D30" w:rsidRDefault="00B33D30" w:rsidP="00B33D30"/>
    <w:p w14:paraId="043559C7" w14:textId="509939D1" w:rsidR="004A164B" w:rsidRPr="00A06BFD" w:rsidRDefault="00A06BFD">
      <w:pPr>
        <w:rPr>
          <w:b/>
        </w:rPr>
      </w:pPr>
      <w:r>
        <w:rPr>
          <w:b/>
        </w:rPr>
        <w:t>Chapter 7</w:t>
      </w:r>
    </w:p>
    <w:p w14:paraId="6F05CBA2" w14:textId="3B31EFA8" w:rsidR="000540F5" w:rsidRDefault="00B76069" w:rsidP="003654EF">
      <w:pPr>
        <w:pStyle w:val="ListParagraph"/>
        <w:numPr>
          <w:ilvl w:val="0"/>
          <w:numId w:val="2"/>
        </w:numPr>
      </w:pPr>
      <w:r>
        <w:t xml:space="preserve"> </w:t>
      </w:r>
    </w:p>
    <w:p w14:paraId="05C3E676" w14:textId="17480E8C" w:rsidR="00B76069" w:rsidRDefault="00342F61" w:rsidP="00B76069">
      <w:pPr>
        <w:pStyle w:val="ListParagraph"/>
        <w:numPr>
          <w:ilvl w:val="1"/>
          <w:numId w:val="2"/>
        </w:numPr>
      </w:pPr>
      <w:r>
        <w:t>Average yield over the three years:</w:t>
      </w:r>
      <w:r w:rsidR="00B76069">
        <w:t xml:space="preserve"> </w:t>
      </w:r>
      <w:r w:rsidR="00FD0E1E">
        <w:rPr>
          <w:noProof/>
        </w:rPr>
        <w:br/>
      </w:r>
      <w:r w:rsidR="008F76D5">
        <w:rPr>
          <w:noProof/>
        </w:rPr>
        <w:drawing>
          <wp:inline distT="0" distB="0" distL="0" distR="0" wp14:anchorId="360EB389" wp14:editId="23087C4D">
            <wp:extent cx="3633746" cy="38629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286" cy="4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5706" w14:textId="2A1022DD" w:rsidR="00B76069" w:rsidRDefault="00B76069" w:rsidP="00B76069">
      <w:pPr>
        <w:pStyle w:val="ListParagraph"/>
        <w:numPr>
          <w:ilvl w:val="1"/>
          <w:numId w:val="2"/>
        </w:numPr>
      </w:pPr>
      <w:r>
        <w:t xml:space="preserve"> </w:t>
      </w:r>
      <w:r w:rsidR="00B478DF">
        <w:t>Average of approximated log returns is given by:</w:t>
      </w:r>
      <w:r w:rsidR="00B478DF" w:rsidRPr="00B478DF">
        <w:rPr>
          <w:noProof/>
        </w:rPr>
        <w:t xml:space="preserve"> </w:t>
      </w:r>
      <w:r w:rsidR="00416519">
        <w:rPr>
          <w:noProof/>
        </w:rPr>
        <w:br/>
      </w:r>
      <w:r w:rsidR="00416519" w:rsidRPr="00416519">
        <w:rPr>
          <w:noProof/>
        </w:rPr>
        <w:drawing>
          <wp:inline distT="0" distB="0" distL="0" distR="0" wp14:anchorId="34369013" wp14:editId="182A4E72">
            <wp:extent cx="4436745" cy="469265"/>
            <wp:effectExtent l="0" t="0" r="190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98FA" w14:textId="0F1102AF" w:rsidR="00B76069" w:rsidRDefault="00B76069" w:rsidP="00A42F38">
      <w:pPr>
        <w:pStyle w:val="ListParagraph"/>
        <w:numPr>
          <w:ilvl w:val="1"/>
          <w:numId w:val="2"/>
        </w:numPr>
      </w:pPr>
      <w:r>
        <w:t xml:space="preserve"> </w:t>
      </w:r>
      <w:r w:rsidR="0081074E">
        <w:t>Annually-scaled volat</w:t>
      </w:r>
      <w:r w:rsidR="00200178">
        <w:t xml:space="preserve">ility of these returns: </w:t>
      </w:r>
      <w:r w:rsidR="00F31E42">
        <w:br/>
      </w:r>
      <w:r w:rsidR="003E3EB9" w:rsidRPr="003E3EB9">
        <w:rPr>
          <w:noProof/>
        </w:rPr>
        <w:drawing>
          <wp:inline distT="0" distB="0" distL="0" distR="0" wp14:anchorId="5C36F4C1" wp14:editId="736AA5E5">
            <wp:extent cx="4436745" cy="469265"/>
            <wp:effectExtent l="0" t="0" r="190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4E6F" w14:textId="4CDB3443" w:rsidR="00B76069" w:rsidRDefault="00613A80" w:rsidP="00B76069">
      <w:pPr>
        <w:pStyle w:val="ListParagraph"/>
        <w:numPr>
          <w:ilvl w:val="1"/>
          <w:numId w:val="2"/>
        </w:numPr>
      </w:pPr>
      <w:r>
        <w:t xml:space="preserve"> </w:t>
      </w:r>
      <w:r w:rsidR="00E7326C">
        <w:br/>
      </w:r>
      <w:r w:rsidR="00E7326C" w:rsidRPr="00E7326C">
        <w:rPr>
          <w:noProof/>
        </w:rPr>
        <w:drawing>
          <wp:inline distT="0" distB="0" distL="0" distR="0" wp14:anchorId="6814D692" wp14:editId="75FDDA46">
            <wp:extent cx="4436745" cy="691515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F38">
        <w:br/>
      </w:r>
    </w:p>
    <w:p w14:paraId="5E665844" w14:textId="3CD184AA" w:rsidR="00D93F22" w:rsidRDefault="00A42F38" w:rsidP="00BC142A">
      <w:pPr>
        <w:pStyle w:val="ListParagraph"/>
        <w:numPr>
          <w:ilvl w:val="0"/>
          <w:numId w:val="2"/>
        </w:numPr>
        <w:ind w:left="1080"/>
      </w:pPr>
      <w:r>
        <w:br/>
      </w:r>
      <w:r w:rsidR="00DC2DFC">
        <w:t>a</w:t>
      </w:r>
      <w:r w:rsidR="00D93F22">
        <w:t xml:space="preserve"> + b. </w:t>
      </w:r>
      <w:r w:rsidR="00EA715A">
        <w:br/>
      </w:r>
      <w:r w:rsidR="00EA715A" w:rsidRPr="00EA715A">
        <w:rPr>
          <w:noProof/>
        </w:rPr>
        <w:drawing>
          <wp:inline distT="0" distB="0" distL="0" distR="0" wp14:anchorId="7E0C5F31" wp14:editId="6E350B98">
            <wp:extent cx="2003425" cy="9702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5DF1" w14:textId="1C636F85" w:rsidR="00613A80" w:rsidRDefault="00EA715A" w:rsidP="00DC2DFC">
      <w:pPr>
        <w:ind w:left="1080"/>
      </w:pPr>
      <w:r>
        <w:lastRenderedPageBreak/>
        <w:t xml:space="preserve">c. </w:t>
      </w:r>
      <w:r w:rsidR="0085771C">
        <w:br/>
      </w:r>
      <w:r w:rsidR="0085771C" w:rsidRPr="0085771C">
        <w:rPr>
          <w:noProof/>
        </w:rPr>
        <w:drawing>
          <wp:inline distT="0" distB="0" distL="0" distR="0" wp14:anchorId="414A248C" wp14:editId="063E9938">
            <wp:extent cx="2695492" cy="9702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59"/>
                    <a:stretch/>
                  </pic:blipFill>
                  <pic:spPr bwMode="auto">
                    <a:xfrm>
                      <a:off x="0" y="0"/>
                      <a:ext cx="2695492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45B7" w:rsidRPr="001B45B7">
        <w:rPr>
          <w:noProof/>
        </w:rPr>
        <w:drawing>
          <wp:inline distT="0" distB="0" distL="0" distR="0" wp14:anchorId="35AA865D" wp14:editId="1F8DC24B">
            <wp:extent cx="2663825" cy="970280"/>
            <wp:effectExtent l="0" t="0" r="317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605F" w14:textId="1BF55DD4" w:rsidR="007935B2" w:rsidRDefault="00DB1A9D" w:rsidP="00DC2DFC">
      <w:pPr>
        <w:ind w:left="1080"/>
      </w:pPr>
      <w:r>
        <w:t>Comparison: ED1</w:t>
      </w:r>
      <w:r w:rsidR="00327BA6">
        <w:t xml:space="preserve"> </w:t>
      </w:r>
      <w:r w:rsidR="00AA7A1C">
        <w:t>has extremely different risk measures than the similar-term 3M CMT</w:t>
      </w:r>
      <w:r w:rsidR="00651F2B">
        <w:t xml:space="preserve">. A skewness of -5.54 indicates that </w:t>
      </w:r>
      <w:r w:rsidR="00A03A91">
        <w:t xml:space="preserve">there are often more negative surprises than there are positive ones. In addition, it has massive excess kurtosis of 54.29, which not only indicates fat tails but also </w:t>
      </w:r>
      <w:r w:rsidR="00242A87">
        <w:t>the</w:t>
      </w:r>
      <w:r w:rsidR="00A03A91">
        <w:t xml:space="preserve"> pointy heads</w:t>
      </w:r>
      <w:r w:rsidR="00242A87">
        <w:t xml:space="preserve">, meaning </w:t>
      </w:r>
      <w:r w:rsidR="00DA12AF">
        <w:t xml:space="preserve">that its returns are extremely deceptive and show little variation (which we can </w:t>
      </w:r>
      <w:proofErr w:type="gramStart"/>
      <w:r w:rsidR="00966A8C">
        <w:t>actually verify</w:t>
      </w:r>
      <w:proofErr w:type="gramEnd"/>
      <w:r w:rsidR="00966A8C">
        <w:t xml:space="preserve"> this deception, look at its volatility in the table). </w:t>
      </w:r>
      <w:r w:rsidR="000D0144">
        <w:t>T3M</w:t>
      </w:r>
      <w:r w:rsidR="00DE15F9">
        <w:t xml:space="preserve"> has an excess kurtosis of </w:t>
      </w:r>
      <w:r w:rsidR="000D0144">
        <w:t>3</w:t>
      </w:r>
      <w:r w:rsidR="00DE15F9">
        <w:t>.</w:t>
      </w:r>
      <w:r w:rsidR="000D0144">
        <w:t>69</w:t>
      </w:r>
      <w:r w:rsidR="00DE15F9">
        <w:t xml:space="preserve">, which </w:t>
      </w:r>
      <w:r w:rsidR="00F15B3B">
        <w:t>can indicate fat tails as well. This could be due to the</w:t>
      </w:r>
      <w:r w:rsidR="00ED21F8">
        <w:t xml:space="preserve"> macro/political changes involving the FED (surprise rate hikes, etc.)</w:t>
      </w:r>
    </w:p>
    <w:p w14:paraId="48EED90F" w14:textId="144BE486" w:rsidR="00D9482D" w:rsidRDefault="00D9482D" w:rsidP="00DC2DFC">
      <w:pPr>
        <w:ind w:left="1080"/>
      </w:pPr>
      <w:r>
        <w:t xml:space="preserve">I think that the cause of the difference in these risk measures </w:t>
      </w:r>
      <w:r w:rsidR="00F345EC">
        <w:t xml:space="preserve">is because the CMT contracts are considered “risk-free”, having the backing &amp; full-faith of the US government. Eurodollar futures, on the other hand, </w:t>
      </w:r>
      <w:r w:rsidR="003A4C14">
        <w:t>reflect the interest rates offered on USD-denominated deposits held in banks outside of the US</w:t>
      </w:r>
      <w:r w:rsidR="00904E5A">
        <w:t xml:space="preserve">. Specifically, it reflects the 3M </w:t>
      </w:r>
      <w:r w:rsidR="0056745A">
        <w:t>interest rate at which banks can borrow funds in the London interbank market. As we know, banks can fail, hence the heightened risk measures of ED1 and ED8.</w:t>
      </w:r>
    </w:p>
    <w:p w14:paraId="5E2807DF" w14:textId="3F329F28" w:rsidR="007935B2" w:rsidRDefault="007935B2" w:rsidP="007935B2">
      <w:pPr>
        <w:ind w:left="1080"/>
      </w:pPr>
      <w:r>
        <w:t xml:space="preserve">d. </w:t>
      </w:r>
      <w:r w:rsidR="00A11722">
        <w:br/>
      </w:r>
      <w:r w:rsidR="00A11722" w:rsidRPr="00A11722">
        <w:rPr>
          <w:noProof/>
        </w:rPr>
        <w:drawing>
          <wp:inline distT="0" distB="0" distL="0" distR="0" wp14:anchorId="38FB89C6" wp14:editId="5C42829A">
            <wp:extent cx="1594819" cy="715010"/>
            <wp:effectExtent l="0" t="0" r="571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9" cy="72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D357" w14:textId="7C754219" w:rsidR="00613A80" w:rsidRDefault="00613A80" w:rsidP="00613A80">
      <w:pPr>
        <w:pStyle w:val="ListParagraph"/>
        <w:numPr>
          <w:ilvl w:val="0"/>
          <w:numId w:val="2"/>
        </w:numPr>
      </w:pPr>
      <w:r>
        <w:t xml:space="preserve"> </w:t>
      </w:r>
    </w:p>
    <w:p w14:paraId="3975C07A" w14:textId="59A6D439" w:rsidR="00613A80" w:rsidRDefault="00F51CF9" w:rsidP="00613A80">
      <w:pPr>
        <w:pStyle w:val="ListParagraph"/>
        <w:numPr>
          <w:ilvl w:val="1"/>
          <w:numId w:val="2"/>
        </w:numPr>
      </w:pPr>
      <w:r>
        <w:br/>
      </w:r>
      <w:r w:rsidRPr="00F51CF9">
        <w:rPr>
          <w:noProof/>
        </w:rPr>
        <w:drawing>
          <wp:inline distT="0" distB="0" distL="0" distR="0" wp14:anchorId="01C74F4D" wp14:editId="3E6209CD">
            <wp:extent cx="4605664" cy="436880"/>
            <wp:effectExtent l="0" t="0" r="444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77" cy="45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A80">
        <w:t xml:space="preserve"> </w:t>
      </w:r>
    </w:p>
    <w:p w14:paraId="3C4A5F88" w14:textId="10E10A68" w:rsidR="00613A80" w:rsidRDefault="004A5D52" w:rsidP="00613A80">
      <w:pPr>
        <w:pStyle w:val="ListParagraph"/>
        <w:numPr>
          <w:ilvl w:val="1"/>
          <w:numId w:val="2"/>
        </w:numPr>
      </w:pPr>
      <w:r>
        <w:br/>
      </w:r>
      <w:r w:rsidRPr="004A5D52">
        <w:rPr>
          <w:noProof/>
        </w:rPr>
        <w:drawing>
          <wp:inline distT="0" distB="0" distL="0" distR="0" wp14:anchorId="3A1483E5" wp14:editId="1DEB0908">
            <wp:extent cx="4610322" cy="437322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370" cy="44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A80">
        <w:t xml:space="preserve"> </w:t>
      </w:r>
      <w:r w:rsidR="00F56DA0">
        <w:br/>
      </w:r>
    </w:p>
    <w:p w14:paraId="14C88DE9" w14:textId="22B90876" w:rsidR="00D208F2" w:rsidRDefault="00F56DA0" w:rsidP="006F0310">
      <w:pPr>
        <w:pStyle w:val="ListParagraph"/>
        <w:numPr>
          <w:ilvl w:val="1"/>
          <w:numId w:val="2"/>
        </w:numPr>
      </w:pPr>
      <w:r>
        <w:t xml:space="preserve">We </w:t>
      </w:r>
      <w:r w:rsidR="00146D8B">
        <w:t xml:space="preserve">can </w:t>
      </w:r>
      <w:r w:rsidR="002E53FB">
        <w:t>see from the table below that the annualized average log-returns for these equities is significantly greater</w:t>
      </w:r>
      <w:r w:rsidR="002205D0">
        <w:t xml:space="preserve"> than the average UST yields. We see this because UST are generally considered “safe” investments (</w:t>
      </w:r>
      <w:r w:rsidR="005567A8">
        <w:t xml:space="preserve">not realistically 100% risk free but close enough for all intents &amp; purposes), while equities are considered more risky (due to </w:t>
      </w:r>
      <w:r w:rsidR="006D6B75">
        <w:t xml:space="preserve">company defaults and other risk factors, etc.) </w:t>
      </w:r>
      <w:r w:rsidR="007F1CD7">
        <w:t>In return for the higher risk, one would expect to receive greater return for taking that risk.</w:t>
      </w:r>
      <w:r w:rsidR="006D6B75">
        <w:t xml:space="preserve"> </w:t>
      </w:r>
      <w:r w:rsidR="00410B83">
        <w:br/>
      </w:r>
      <w:r w:rsidR="00D208F2">
        <w:br/>
      </w:r>
      <w:r w:rsidR="00D208F2" w:rsidRPr="006F0310">
        <w:rPr>
          <w:noProof/>
        </w:rPr>
        <w:drawing>
          <wp:inline distT="0" distB="0" distL="0" distR="0" wp14:anchorId="79030531" wp14:editId="65C523C8">
            <wp:extent cx="6238448" cy="48001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87426" cy="52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B83">
        <w:br/>
      </w:r>
    </w:p>
    <w:p w14:paraId="54916283" w14:textId="396043BC" w:rsidR="00613A80" w:rsidRDefault="00C61B73" w:rsidP="006F0310">
      <w:pPr>
        <w:pStyle w:val="ListParagraph"/>
        <w:numPr>
          <w:ilvl w:val="1"/>
          <w:numId w:val="2"/>
        </w:numPr>
      </w:pPr>
      <w:r>
        <w:t>Annualized volatility of log returns</w:t>
      </w:r>
      <w:r w:rsidR="006F0310">
        <w:br/>
      </w:r>
      <w:r w:rsidR="00847553" w:rsidRPr="00847553">
        <w:rPr>
          <w:noProof/>
        </w:rPr>
        <w:drawing>
          <wp:inline distT="0" distB="0" distL="0" distR="0" wp14:anchorId="60F4F4DF" wp14:editId="65D5FB1E">
            <wp:extent cx="2743200" cy="26828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1261" cy="29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3911" w14:textId="34BD2999" w:rsidR="00613A80" w:rsidRDefault="00645564" w:rsidP="00613A80">
      <w:pPr>
        <w:pStyle w:val="ListParagraph"/>
        <w:numPr>
          <w:ilvl w:val="1"/>
          <w:numId w:val="2"/>
        </w:numPr>
      </w:pPr>
      <w:r>
        <w:lastRenderedPageBreak/>
        <w:t>Skewness/Kurtosis</w:t>
      </w:r>
      <w:r w:rsidR="00FC7AE0">
        <w:br/>
      </w:r>
      <w:r w:rsidR="0042518C" w:rsidRPr="0042518C">
        <w:rPr>
          <w:noProof/>
        </w:rPr>
        <w:drawing>
          <wp:inline distT="0" distB="0" distL="0" distR="0" wp14:anchorId="0B571078" wp14:editId="7CCEB4AC">
            <wp:extent cx="3525073" cy="278296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6388" cy="47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553">
        <w:br/>
      </w:r>
      <w:r w:rsidR="00FC7AE0" w:rsidRPr="00FC7AE0">
        <w:rPr>
          <w:noProof/>
        </w:rPr>
        <w:drawing>
          <wp:inline distT="0" distB="0" distL="0" distR="0" wp14:anchorId="14DA94C7" wp14:editId="6D3CD0A6">
            <wp:extent cx="3693192" cy="262393"/>
            <wp:effectExtent l="0" t="0" r="254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6722" cy="3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B428" w14:textId="20CD0D22" w:rsidR="0042518C" w:rsidRDefault="00C94559" w:rsidP="00613A80">
      <w:pPr>
        <w:pStyle w:val="ListParagraph"/>
        <w:numPr>
          <w:ilvl w:val="1"/>
          <w:numId w:val="2"/>
        </w:numPr>
      </w:pPr>
      <w:r>
        <w:br/>
        <w:t xml:space="preserve">While the volatilities are </w:t>
      </w:r>
      <w:r w:rsidR="00917862">
        <w:t xml:space="preserve">very different, the skewness and kurtosis of the equities and USTs are surprisingly </w:t>
      </w:r>
      <w:r w:rsidR="00745964">
        <w:t xml:space="preserve">similar. </w:t>
      </w:r>
      <w:r w:rsidR="009F1782">
        <w:t xml:space="preserve">This might be </w:t>
      </w:r>
      <w:proofErr w:type="gramStart"/>
      <w:r w:rsidR="009F1782">
        <w:t>due to the fact that</w:t>
      </w:r>
      <w:proofErr w:type="gramEnd"/>
      <w:r w:rsidR="009F1782">
        <w:t xml:space="preserve"> all of these assets (US equities and USTs) are within the US financial markets, thus </w:t>
      </w:r>
      <w:r w:rsidR="00C84224">
        <w:t>any downturn or upswing due to the US economy</w:t>
      </w:r>
      <w:r w:rsidR="005804C1">
        <w:t xml:space="preserve"> or US markets likely impact both of these asset groups</w:t>
      </w:r>
      <w:r w:rsidR="00230578">
        <w:t xml:space="preserve"> to a somewhat similar degree</w:t>
      </w:r>
      <w:r w:rsidR="005804C1">
        <w:t>.</w:t>
      </w:r>
      <w:r w:rsidR="000E6BE4">
        <w:br/>
      </w:r>
      <w:r w:rsidR="00D66C10" w:rsidRPr="00D66C10">
        <w:rPr>
          <w:noProof/>
        </w:rPr>
        <w:drawing>
          <wp:inline distT="0" distB="0" distL="0" distR="0" wp14:anchorId="0D3AB290" wp14:editId="27B8A419">
            <wp:extent cx="3659870" cy="6679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9135" cy="7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7008" w14:textId="2190361F" w:rsidR="00613A80" w:rsidRDefault="00681410" w:rsidP="00613A80">
      <w:pPr>
        <w:pStyle w:val="ListParagraph"/>
        <w:numPr>
          <w:ilvl w:val="0"/>
          <w:numId w:val="2"/>
        </w:numPr>
      </w:pPr>
      <w:r>
        <w:t xml:space="preserve"> </w:t>
      </w:r>
    </w:p>
    <w:p w14:paraId="347915E9" w14:textId="4AFAC205" w:rsidR="00681410" w:rsidRDefault="00745964" w:rsidP="00681410">
      <w:pPr>
        <w:pStyle w:val="ListParagraph"/>
        <w:numPr>
          <w:ilvl w:val="1"/>
          <w:numId w:val="2"/>
        </w:numPr>
      </w:pPr>
      <w:r>
        <w:t>Average Prices</w:t>
      </w:r>
      <w:r w:rsidR="007A39AF">
        <w:br/>
      </w:r>
      <w:r w:rsidR="007A39AF">
        <w:rPr>
          <w:noProof/>
        </w:rPr>
        <w:drawing>
          <wp:inline distT="0" distB="0" distL="0" distR="0" wp14:anchorId="7441E813" wp14:editId="469D94D7">
            <wp:extent cx="3188473" cy="31597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9778" cy="38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410">
        <w:t xml:space="preserve"> </w:t>
      </w:r>
    </w:p>
    <w:p w14:paraId="074027D1" w14:textId="40A3CCEB" w:rsidR="00681410" w:rsidRDefault="00F275A4" w:rsidP="00681410">
      <w:pPr>
        <w:pStyle w:val="ListParagraph"/>
        <w:numPr>
          <w:ilvl w:val="1"/>
          <w:numId w:val="2"/>
        </w:numPr>
      </w:pPr>
      <w:r>
        <w:t>Average Daily log returns</w:t>
      </w:r>
      <w:r w:rsidR="007A39AF">
        <w:br/>
      </w:r>
      <w:r w:rsidR="00681410">
        <w:t xml:space="preserve"> </w:t>
      </w:r>
      <w:r w:rsidR="00C340BD" w:rsidRPr="00C340BD">
        <w:rPr>
          <w:noProof/>
        </w:rPr>
        <w:drawing>
          <wp:inline distT="0" distB="0" distL="0" distR="0" wp14:anchorId="29981C5D" wp14:editId="468CBA72">
            <wp:extent cx="4118251" cy="29311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5544" cy="32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564">
        <w:br/>
      </w:r>
    </w:p>
    <w:p w14:paraId="4B84CAD1" w14:textId="47A7553E" w:rsidR="00681410" w:rsidRDefault="00C316B2" w:rsidP="003C0B1B">
      <w:pPr>
        <w:pStyle w:val="ListParagraph"/>
        <w:numPr>
          <w:ilvl w:val="1"/>
          <w:numId w:val="2"/>
        </w:numPr>
      </w:pPr>
      <w:r>
        <w:t>Annualized average log returns</w:t>
      </w:r>
      <w:r w:rsidR="003C0B1B">
        <w:br/>
      </w:r>
      <w:r w:rsidR="005460C8">
        <w:t xml:space="preserve">I’ve noticed overall that commodities have greater </w:t>
      </w:r>
      <w:r w:rsidR="00E40515">
        <w:t>annualized log-returns than USTs</w:t>
      </w:r>
      <w:r w:rsidR="00952328">
        <w:t xml:space="preserve">, </w:t>
      </w:r>
      <w:r w:rsidR="004E6FAD">
        <w:t xml:space="preserve">due to the greater amount of risk taken on by buying these contracts (have to “deliver” X amount of the commodity at </w:t>
      </w:r>
      <w:proofErr w:type="gramStart"/>
      <w:r w:rsidR="004E6FAD">
        <w:t>expiration</w:t>
      </w:r>
      <w:r w:rsidR="00BD6EE6">
        <w:t>, or</w:t>
      </w:r>
      <w:proofErr w:type="gramEnd"/>
      <w:r w:rsidR="00BD6EE6">
        <w:t xml:space="preserve"> hedging against rise in the price of a given commodity)</w:t>
      </w:r>
      <w:r w:rsidR="00837255">
        <w:t>.</w:t>
      </w:r>
      <w:r w:rsidR="007A39AF">
        <w:br/>
      </w:r>
      <w:r w:rsidR="00945203">
        <w:rPr>
          <w:noProof/>
        </w:rPr>
        <w:drawing>
          <wp:inline distT="0" distB="0" distL="0" distR="0" wp14:anchorId="42B9789A" wp14:editId="071AAFD6">
            <wp:extent cx="4142629" cy="301683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5488" cy="34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410">
        <w:t xml:space="preserve"> </w:t>
      </w:r>
      <w:r w:rsidR="00645564">
        <w:br/>
      </w:r>
    </w:p>
    <w:p w14:paraId="3151FD1D" w14:textId="550D1EA8" w:rsidR="00681410" w:rsidRDefault="00681410" w:rsidP="00681410">
      <w:pPr>
        <w:pStyle w:val="ListParagraph"/>
        <w:numPr>
          <w:ilvl w:val="1"/>
          <w:numId w:val="2"/>
        </w:numPr>
      </w:pPr>
      <w:r>
        <w:t xml:space="preserve"> </w:t>
      </w:r>
      <w:r w:rsidR="00EC0276">
        <w:t>Annualized volatility</w:t>
      </w:r>
      <w:r w:rsidR="00C340BD">
        <w:br/>
      </w:r>
      <w:r w:rsidR="00205D49" w:rsidRPr="00205D49">
        <w:rPr>
          <w:noProof/>
        </w:rPr>
        <w:drawing>
          <wp:inline distT="0" distB="0" distL="0" distR="0" wp14:anchorId="2A469B4B" wp14:editId="3E3159AB">
            <wp:extent cx="3085106" cy="303951"/>
            <wp:effectExtent l="0" t="0" r="127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3242" cy="3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AB4A" w14:textId="0D03A93B" w:rsidR="00205D49" w:rsidRDefault="00645564" w:rsidP="00681410">
      <w:pPr>
        <w:pStyle w:val="ListParagraph"/>
        <w:numPr>
          <w:ilvl w:val="1"/>
          <w:numId w:val="2"/>
        </w:numPr>
      </w:pPr>
      <w:r>
        <w:t>Skewness/Kurtosis</w:t>
      </w:r>
      <w:r w:rsidR="00205D49">
        <w:br/>
      </w:r>
      <w:r w:rsidR="00390EBD" w:rsidRPr="00390EBD">
        <w:rPr>
          <w:noProof/>
        </w:rPr>
        <w:drawing>
          <wp:inline distT="0" distB="0" distL="0" distR="0" wp14:anchorId="786FE798" wp14:editId="5FB14C10">
            <wp:extent cx="3848431" cy="33072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2734" cy="38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A75">
        <w:br/>
      </w:r>
      <w:r w:rsidR="00422C26" w:rsidRPr="00422C26">
        <w:rPr>
          <w:noProof/>
        </w:rPr>
        <w:drawing>
          <wp:inline distT="0" distB="0" distL="0" distR="0" wp14:anchorId="2274FC64" wp14:editId="090A61CA">
            <wp:extent cx="3935895" cy="27580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12407"/>
                    <a:stretch/>
                  </pic:blipFill>
                  <pic:spPr bwMode="auto">
                    <a:xfrm>
                      <a:off x="0" y="0"/>
                      <a:ext cx="4409291" cy="308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37D661CA" w14:textId="16A15E32" w:rsidR="00390EBD" w:rsidRDefault="00126C22" w:rsidP="00681410">
      <w:pPr>
        <w:pStyle w:val="ListParagraph"/>
        <w:numPr>
          <w:ilvl w:val="1"/>
          <w:numId w:val="2"/>
        </w:numPr>
      </w:pPr>
      <w:r>
        <w:t xml:space="preserve">The annualized volatility is significantly higher in commodities than in USTs. The </w:t>
      </w:r>
      <w:r w:rsidR="006547C4">
        <w:t>T2Y, along with Oil, have .4-.5 positive skew, which indicates that there are more often positive surprises than negative ones</w:t>
      </w:r>
      <w:r w:rsidR="008578FF">
        <w:t>. For the T3M and T30Y, there is a much higher negative skew and</w:t>
      </w:r>
      <w:r w:rsidR="00E00D60">
        <w:t xml:space="preserve"> higher kurtosis than we see in commodities. </w:t>
      </w:r>
      <w:proofErr w:type="gramStart"/>
      <w:r w:rsidR="00684548">
        <w:t>In regards to</w:t>
      </w:r>
      <w:proofErr w:type="gramEnd"/>
      <w:r w:rsidR="00684548">
        <w:t xml:space="preserve"> the negative skew, this makes sense logically</w:t>
      </w:r>
      <w:r w:rsidR="00843F1F">
        <w:t xml:space="preserve">: whenever the Federal Reserve announces news surrounding rates, </w:t>
      </w:r>
      <w:r w:rsidR="00CF6E2F">
        <w:t>it generally isn’t reflected as “positive news” for the fixed income market (</w:t>
      </w:r>
      <w:r w:rsidR="00837255">
        <w:t>and the Fed gets a lot of criticism on top of it).</w:t>
      </w:r>
      <w:r w:rsidR="00D7358D">
        <w:br/>
      </w:r>
      <w:r w:rsidR="00D7358D" w:rsidRPr="00D66C10">
        <w:rPr>
          <w:noProof/>
        </w:rPr>
        <w:drawing>
          <wp:inline distT="0" distB="0" distL="0" distR="0" wp14:anchorId="1EE9593A" wp14:editId="7910CCF3">
            <wp:extent cx="3659870" cy="667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9135" cy="7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9F7D" w14:textId="2167DF28" w:rsidR="000540F5" w:rsidRDefault="00AE5943" w:rsidP="00D9122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7F45BFA" wp14:editId="05E197F5">
            <wp:simplePos x="0" y="0"/>
            <wp:positionH relativeFrom="margin">
              <wp:posOffset>3136026</wp:posOffset>
            </wp:positionH>
            <wp:positionV relativeFrom="paragraph">
              <wp:posOffset>587</wp:posOffset>
            </wp:positionV>
            <wp:extent cx="3776345" cy="3776345"/>
            <wp:effectExtent l="0" t="0" r="0" b="0"/>
            <wp:wrapTight wrapText="bothSides">
              <wp:wrapPolygon edited="0">
                <wp:start x="0" y="0"/>
                <wp:lineTo x="0" y="21466"/>
                <wp:lineTo x="21466" y="21466"/>
                <wp:lineTo x="2146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1" t="-730" r="31001" b="690"/>
                    <a:stretch/>
                  </pic:blipFill>
                  <pic:spPr bwMode="auto">
                    <a:xfrm>
                      <a:off x="0" y="0"/>
                      <a:ext cx="3776345" cy="377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92">
        <w:t xml:space="preserve">From the correlation heat map below, </w:t>
      </w:r>
      <w:proofErr w:type="gramStart"/>
      <w:r w:rsidR="00BE1992">
        <w:t xml:space="preserve">it is clear that </w:t>
      </w:r>
      <w:r w:rsidR="009A3E8E">
        <w:t>the</w:t>
      </w:r>
      <w:proofErr w:type="gramEnd"/>
      <w:r w:rsidR="009A3E8E">
        <w:t xml:space="preserve"> long-term</w:t>
      </w:r>
      <w:r w:rsidR="00671832">
        <w:t xml:space="preserve"> </w:t>
      </w:r>
      <w:r w:rsidR="009A3E8E">
        <w:t xml:space="preserve">USTs </w:t>
      </w:r>
      <w:r>
        <w:t>are closely correlated with each other</w:t>
      </w:r>
      <w:r w:rsidR="00671832">
        <w:t xml:space="preserve"> (long-term</w:t>
      </w:r>
      <w:r w:rsidR="00BB0543">
        <w:t>:</w:t>
      </w:r>
      <w:r w:rsidR="00671832">
        <w:t xml:space="preserve"> T30</w:t>
      </w:r>
      <w:r w:rsidR="00BB0543">
        <w:t>Y+</w:t>
      </w:r>
      <w:r w:rsidR="00671832">
        <w:t>T10Y</w:t>
      </w:r>
      <w:r w:rsidR="009A3E8E">
        <w:t>), which is likely due</w:t>
      </w:r>
      <w:r w:rsidR="00AC6CE1">
        <w:t xml:space="preserve"> the greater uncertainty of inflation and interest rates at 10 and 30 years </w:t>
      </w:r>
      <w:r w:rsidR="00A73D9F">
        <w:t>from now. There is also a high correlation between ED8</w:t>
      </w:r>
      <w:r w:rsidR="008F0753">
        <w:t xml:space="preserve"> and these long-term USTs, but the highest correlation is between the ED8 (2Yr Eurodollar futures contract) and the T2Y (2Yr UST)</w:t>
      </w:r>
      <w:r w:rsidR="00522EA8">
        <w:t xml:space="preserve">, which makes sense because </w:t>
      </w:r>
      <w:r w:rsidR="00CF106D">
        <w:t xml:space="preserve">these two contracts are </w:t>
      </w:r>
      <w:r w:rsidR="00D04CDA">
        <w:t xml:space="preserve">both representations </w:t>
      </w:r>
      <w:r w:rsidR="00CF106D">
        <w:t xml:space="preserve">of </w:t>
      </w:r>
      <w:r w:rsidR="00D04CDA">
        <w:t>interest rates and have the same maturity</w:t>
      </w:r>
      <w:r w:rsidR="003D221B">
        <w:t xml:space="preserve">. </w:t>
      </w:r>
      <w:r w:rsidR="003D221B">
        <w:br/>
        <w:t xml:space="preserve">In addition, the SPX, RUT, and G1/G2 Stock Indices all have a very high correlation, which </w:t>
      </w:r>
      <w:r w:rsidR="00263260">
        <w:t>makes sense because these are all US equities and thus</w:t>
      </w:r>
      <w:r w:rsidR="00EA32A6">
        <w:t xml:space="preserve"> are impacted by the ups/downs of the US economy/equity market.</w:t>
      </w:r>
    </w:p>
    <w:p w14:paraId="15A7F545" w14:textId="1C764CDD" w:rsidR="00E677E5" w:rsidRDefault="001913FE" w:rsidP="006A4373">
      <w:r w:rsidRPr="00E677E5"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24F88873" wp14:editId="699E7DF9">
            <wp:simplePos x="0" y="0"/>
            <wp:positionH relativeFrom="margin">
              <wp:posOffset>637540</wp:posOffset>
            </wp:positionH>
            <wp:positionV relativeFrom="paragraph">
              <wp:posOffset>948690</wp:posOffset>
            </wp:positionV>
            <wp:extent cx="5322570" cy="4594225"/>
            <wp:effectExtent l="0" t="0" r="0" b="0"/>
            <wp:wrapTopAndBottom/>
            <wp:docPr id="15" name="Picture 15" descr="C:\Users\jloss\AppData\Local\Temp\WeChat Files\a8fb477fdce572db1df7837797349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loss\AppData\Local\Temp\WeChat Files\a8fb477fdce572db1df7837797349bb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373">
        <w:rPr>
          <w:b/>
        </w:rPr>
        <w:t>Chapter 8</w:t>
      </w:r>
      <w:r w:rsidR="006A4373">
        <w:rPr>
          <w:b/>
        </w:rPr>
        <w:br/>
      </w:r>
      <w:r w:rsidR="006A4373">
        <w:tab/>
        <w:t xml:space="preserve"> </w:t>
      </w:r>
      <w:r>
        <w:t xml:space="preserve">1.  </w:t>
      </w:r>
      <w:r w:rsidR="00414274">
        <w:t xml:space="preserve">Note: I could not change the rounding of </w:t>
      </w:r>
      <w:r w:rsidR="00645564">
        <w:t xml:space="preserve">the </w:t>
      </w:r>
      <w:proofErr w:type="spellStart"/>
      <w:proofErr w:type="gramStart"/>
      <w:r w:rsidR="00645564">
        <w:t>table.DownsideRisk</w:t>
      </w:r>
      <w:proofErr w:type="spellEnd"/>
      <w:proofErr w:type="gramEnd"/>
      <w:r w:rsidR="00645564">
        <w:t xml:space="preserve"> function (</w:t>
      </w:r>
      <w:proofErr w:type="spellStart"/>
      <w:r w:rsidR="00645564">
        <w:t>PerformanceAnalytics</w:t>
      </w:r>
      <w:proofErr w:type="spellEnd"/>
      <w:r w:rsidR="00645564">
        <w:t xml:space="preserve"> package), so I double-checked these values </w:t>
      </w:r>
      <w:r w:rsidR="00E37C8E">
        <w:t xml:space="preserve">by doing the same function calls to the </w:t>
      </w:r>
      <w:proofErr w:type="spellStart"/>
      <w:r w:rsidR="00E37C8E">
        <w:t>alldata</w:t>
      </w:r>
      <w:proofErr w:type="spellEnd"/>
      <w:r w:rsidR="00E37C8E">
        <w:t xml:space="preserve"> </w:t>
      </w:r>
      <w:proofErr w:type="spellStart"/>
      <w:r w:rsidR="00E37C8E">
        <w:t>dataframe</w:t>
      </w:r>
      <w:proofErr w:type="spellEnd"/>
      <w:r w:rsidR="00E37C8E">
        <w:t xml:space="preserve">. Everything </w:t>
      </w:r>
      <w:r w:rsidR="00B10F7B">
        <w:t xml:space="preserve">checked out, for </w:t>
      </w:r>
      <w:proofErr w:type="gramStart"/>
      <w:r w:rsidR="00B10F7B">
        <w:t>example</w:t>
      </w:r>
      <w:proofErr w:type="gramEnd"/>
      <w:r w:rsidR="00B10F7B">
        <w:t xml:space="preserve"> semi</w:t>
      </w:r>
      <w:r w:rsidR="005D2C81">
        <w:t>-</w:t>
      </w:r>
      <w:r w:rsidR="00B10F7B">
        <w:t xml:space="preserve">deviation(alldata$T3M) was </w:t>
      </w:r>
      <w:r w:rsidR="003519B6" w:rsidRPr="003519B6">
        <w:t>0.0000389904</w:t>
      </w:r>
      <w:r w:rsidR="003519B6">
        <w:t xml:space="preserve"> (hence it is 0.0000 in the </w:t>
      </w:r>
      <w:r w:rsidR="00AD4A67">
        <w:t>table below). T2Y semi</w:t>
      </w:r>
      <w:r w:rsidR="005D2C81">
        <w:t>-</w:t>
      </w:r>
      <w:r w:rsidR="00AD4A67">
        <w:t xml:space="preserve">deviation was </w:t>
      </w:r>
      <w:r w:rsidR="00AD4A67" w:rsidRPr="00AD4A67">
        <w:t>0.0003888897</w:t>
      </w:r>
      <w:r w:rsidR="005D2C81">
        <w:t xml:space="preserve">, and we can see that reflected in the 0.0004 value below. </w:t>
      </w:r>
    </w:p>
    <w:p w14:paraId="08556CCE" w14:textId="7B15F8B2" w:rsidR="00414274" w:rsidRDefault="00B021FC" w:rsidP="00D35182">
      <w:pPr>
        <w:pStyle w:val="ListParagraph"/>
        <w:numPr>
          <w:ilvl w:val="0"/>
          <w:numId w:val="6"/>
        </w:numPr>
      </w:pPr>
      <w:r w:rsidRPr="008B469D">
        <w:lastRenderedPageBreak/>
        <w:drawing>
          <wp:anchor distT="0" distB="0" distL="114300" distR="114300" simplePos="0" relativeHeight="251674624" behindDoc="0" locked="0" layoutInCell="1" allowOverlap="1" wp14:anchorId="4BD5882D" wp14:editId="4E01DB26">
            <wp:simplePos x="0" y="0"/>
            <wp:positionH relativeFrom="margin">
              <wp:posOffset>-304800</wp:posOffset>
            </wp:positionH>
            <wp:positionV relativeFrom="paragraph">
              <wp:posOffset>1110615</wp:posOffset>
            </wp:positionV>
            <wp:extent cx="7484917" cy="1622425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917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182">
        <w:t xml:space="preserve"> </w:t>
      </w:r>
      <w:r w:rsidR="00BB4797">
        <w:t>If you were to order these instruments by</w:t>
      </w:r>
      <w:r w:rsidR="00D74ED5">
        <w:t xml:space="preserve"> Historical Cornish-Fisher </w:t>
      </w:r>
      <w:proofErr w:type="spellStart"/>
      <w:r w:rsidR="00D74ED5">
        <w:t>VaR</w:t>
      </w:r>
      <w:proofErr w:type="spellEnd"/>
      <w:r w:rsidR="00D74ED5">
        <w:t xml:space="preserve"> or Expected Shortfall, the commodities would be ranked as </w:t>
      </w:r>
      <w:r w:rsidR="000D02A1">
        <w:t xml:space="preserve">having the highest risk. However, if you were to rank these instruments based on Kurtosis, the UST contracts would </w:t>
      </w:r>
      <w:proofErr w:type="gramStart"/>
      <w:r w:rsidR="00C21A7A">
        <w:t>actually be</w:t>
      </w:r>
      <w:proofErr w:type="gramEnd"/>
      <w:r w:rsidR="00C21A7A">
        <w:t xml:space="preserve"> ranked higher than commodities. Equities would be ranked even higher</w:t>
      </w:r>
      <w:r w:rsidR="000E014D">
        <w:t xml:space="preserve"> if we ordered on Kurtosis, </w:t>
      </w:r>
      <w:r w:rsidR="00685DFA">
        <w:t xml:space="preserve">and Eurodollar futures would be the highest </w:t>
      </w:r>
      <w:r w:rsidR="004C49ED">
        <w:t xml:space="preserve">rank by a significant margin. If ranked on annualized volatility, we would see the opposite ranking of Eurodollar futures (having annualized vol at </w:t>
      </w:r>
      <w:r>
        <w:t>only 0.0037 and 0.0066.</w:t>
      </w:r>
      <w:r w:rsidR="00DB20C9">
        <w:br/>
      </w:r>
      <w:bookmarkStart w:id="0" w:name="_GoBack"/>
      <w:bookmarkEnd w:id="0"/>
    </w:p>
    <w:p w14:paraId="4F47B6E8" w14:textId="476F21BF" w:rsidR="00D35182" w:rsidRDefault="00D35182" w:rsidP="00D35182">
      <w:pPr>
        <w:pStyle w:val="ListParagraph"/>
        <w:numPr>
          <w:ilvl w:val="0"/>
          <w:numId w:val="6"/>
        </w:numPr>
      </w:pPr>
      <w:r>
        <w:t xml:space="preserve"> </w:t>
      </w:r>
      <w:r w:rsidR="00897BAC">
        <w:t xml:space="preserve">As mentioned in #2, </w:t>
      </w:r>
      <w:proofErr w:type="gramStart"/>
      <w:r w:rsidR="00897BAC">
        <w:t>it is clear that the</w:t>
      </w:r>
      <w:proofErr w:type="gramEnd"/>
      <w:r w:rsidR="00897BAC">
        <w:t xml:space="preserve"> Eurodollar futures contracts </w:t>
      </w:r>
      <w:r w:rsidR="006973A6">
        <w:t>seem deceptively lower risk than they actually are. This is also the case with some of the CMTs, particularly the short-term 3M maturity UST</w:t>
      </w:r>
      <w:r w:rsidR="00BF6D2E">
        <w:t xml:space="preserve">. </w:t>
      </w:r>
      <w:proofErr w:type="gramStart"/>
      <w:r w:rsidR="00BF6D2E">
        <w:t>All of</w:t>
      </w:r>
      <w:proofErr w:type="gramEnd"/>
      <w:r w:rsidR="00BF6D2E">
        <w:t xml:space="preserve"> these contracts have an extremely small annualized volatility, but an ugly </w:t>
      </w:r>
      <w:r w:rsidR="0043703C">
        <w:t>and enormous (relative to other risk measures) kurtosis</w:t>
      </w:r>
      <w:r w:rsidR="00827827">
        <w:t>.</w:t>
      </w:r>
    </w:p>
    <w:p w14:paraId="2C7467A9" w14:textId="58FA4A16" w:rsidR="00115D56" w:rsidRDefault="00681410">
      <w:r>
        <w:t xml:space="preserve">  </w:t>
      </w:r>
    </w:p>
    <w:sectPr w:rsidR="00115D56" w:rsidSect="00154F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71BB"/>
    <w:multiLevelType w:val="hybridMultilevel"/>
    <w:tmpl w:val="DD80F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C1895"/>
    <w:multiLevelType w:val="hybridMultilevel"/>
    <w:tmpl w:val="AFF04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53CC5"/>
    <w:multiLevelType w:val="hybridMultilevel"/>
    <w:tmpl w:val="23106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140AC"/>
    <w:multiLevelType w:val="hybridMultilevel"/>
    <w:tmpl w:val="44ACED4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05887"/>
    <w:multiLevelType w:val="hybridMultilevel"/>
    <w:tmpl w:val="73D8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31E1F"/>
    <w:multiLevelType w:val="hybridMultilevel"/>
    <w:tmpl w:val="0F28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4E"/>
    <w:rsid w:val="0004507A"/>
    <w:rsid w:val="000540F5"/>
    <w:rsid w:val="000618D7"/>
    <w:rsid w:val="00096967"/>
    <w:rsid w:val="000C3379"/>
    <w:rsid w:val="000C7B0D"/>
    <w:rsid w:val="000D0144"/>
    <w:rsid w:val="000D02A1"/>
    <w:rsid w:val="000D4A52"/>
    <w:rsid w:val="000E014D"/>
    <w:rsid w:val="000E6BE4"/>
    <w:rsid w:val="00100DED"/>
    <w:rsid w:val="00115D56"/>
    <w:rsid w:val="00126C22"/>
    <w:rsid w:val="00134DD9"/>
    <w:rsid w:val="00146D8B"/>
    <w:rsid w:val="00154FD3"/>
    <w:rsid w:val="001913FE"/>
    <w:rsid w:val="001B45B7"/>
    <w:rsid w:val="001D082A"/>
    <w:rsid w:val="001D6E73"/>
    <w:rsid w:val="00200178"/>
    <w:rsid w:val="00205D49"/>
    <w:rsid w:val="002205D0"/>
    <w:rsid w:val="002258A6"/>
    <w:rsid w:val="00230578"/>
    <w:rsid w:val="00242A87"/>
    <w:rsid w:val="00245FB0"/>
    <w:rsid w:val="002509D5"/>
    <w:rsid w:val="002553F8"/>
    <w:rsid w:val="002558AC"/>
    <w:rsid w:val="00263260"/>
    <w:rsid w:val="0027609F"/>
    <w:rsid w:val="002B4E7C"/>
    <w:rsid w:val="002B55E9"/>
    <w:rsid w:val="002D16B5"/>
    <w:rsid w:val="002D1A75"/>
    <w:rsid w:val="002E53FB"/>
    <w:rsid w:val="00327BA6"/>
    <w:rsid w:val="00342F61"/>
    <w:rsid w:val="003519B6"/>
    <w:rsid w:val="003654EF"/>
    <w:rsid w:val="00390EBD"/>
    <w:rsid w:val="003A4C14"/>
    <w:rsid w:val="003C0B1B"/>
    <w:rsid w:val="003D221B"/>
    <w:rsid w:val="003E3EB9"/>
    <w:rsid w:val="003E6EB7"/>
    <w:rsid w:val="003F03BB"/>
    <w:rsid w:val="00410B83"/>
    <w:rsid w:val="00414274"/>
    <w:rsid w:val="00416519"/>
    <w:rsid w:val="00422C26"/>
    <w:rsid w:val="0042518C"/>
    <w:rsid w:val="0043703C"/>
    <w:rsid w:val="00445323"/>
    <w:rsid w:val="004A164B"/>
    <w:rsid w:val="004A5D52"/>
    <w:rsid w:val="004C49ED"/>
    <w:rsid w:val="004E6FAD"/>
    <w:rsid w:val="00522EA8"/>
    <w:rsid w:val="005460C8"/>
    <w:rsid w:val="005567A8"/>
    <w:rsid w:val="0056745A"/>
    <w:rsid w:val="005801B7"/>
    <w:rsid w:val="005804C1"/>
    <w:rsid w:val="005B3C90"/>
    <w:rsid w:val="005D2C81"/>
    <w:rsid w:val="00601F78"/>
    <w:rsid w:val="00613A80"/>
    <w:rsid w:val="006329A9"/>
    <w:rsid w:val="00641F75"/>
    <w:rsid w:val="00645564"/>
    <w:rsid w:val="00651F2B"/>
    <w:rsid w:val="006547C4"/>
    <w:rsid w:val="00671832"/>
    <w:rsid w:val="00674352"/>
    <w:rsid w:val="00681410"/>
    <w:rsid w:val="00683614"/>
    <w:rsid w:val="00684548"/>
    <w:rsid w:val="00685DFA"/>
    <w:rsid w:val="006973A6"/>
    <w:rsid w:val="006A4373"/>
    <w:rsid w:val="006D6B75"/>
    <w:rsid w:val="006F0310"/>
    <w:rsid w:val="006F1432"/>
    <w:rsid w:val="00724D8F"/>
    <w:rsid w:val="0073415B"/>
    <w:rsid w:val="00745964"/>
    <w:rsid w:val="00751CFE"/>
    <w:rsid w:val="007935B2"/>
    <w:rsid w:val="007A39AF"/>
    <w:rsid w:val="007F1CD7"/>
    <w:rsid w:val="00800F9E"/>
    <w:rsid w:val="0081074E"/>
    <w:rsid w:val="008119D2"/>
    <w:rsid w:val="00812AEC"/>
    <w:rsid w:val="00820418"/>
    <w:rsid w:val="00827827"/>
    <w:rsid w:val="00837255"/>
    <w:rsid w:val="00843F1F"/>
    <w:rsid w:val="00847553"/>
    <w:rsid w:val="0085771C"/>
    <w:rsid w:val="008578FF"/>
    <w:rsid w:val="00877AF6"/>
    <w:rsid w:val="00882EB6"/>
    <w:rsid w:val="0089714E"/>
    <w:rsid w:val="00897BAC"/>
    <w:rsid w:val="008B469D"/>
    <w:rsid w:val="008C25D4"/>
    <w:rsid w:val="008C4964"/>
    <w:rsid w:val="008E53F4"/>
    <w:rsid w:val="008E55DA"/>
    <w:rsid w:val="008F0753"/>
    <w:rsid w:val="008F76D5"/>
    <w:rsid w:val="00904E5A"/>
    <w:rsid w:val="00917862"/>
    <w:rsid w:val="00925429"/>
    <w:rsid w:val="00945203"/>
    <w:rsid w:val="00952328"/>
    <w:rsid w:val="00966A8C"/>
    <w:rsid w:val="009A3E8E"/>
    <w:rsid w:val="009A6D06"/>
    <w:rsid w:val="009F1782"/>
    <w:rsid w:val="00A03A91"/>
    <w:rsid w:val="00A06BFD"/>
    <w:rsid w:val="00A11722"/>
    <w:rsid w:val="00A17B30"/>
    <w:rsid w:val="00A40906"/>
    <w:rsid w:val="00A42F38"/>
    <w:rsid w:val="00A73D9F"/>
    <w:rsid w:val="00AA7A1C"/>
    <w:rsid w:val="00AB59A9"/>
    <w:rsid w:val="00AC6CE1"/>
    <w:rsid w:val="00AD4A67"/>
    <w:rsid w:val="00AE5943"/>
    <w:rsid w:val="00B021FC"/>
    <w:rsid w:val="00B10F7B"/>
    <w:rsid w:val="00B323F3"/>
    <w:rsid w:val="00B33D30"/>
    <w:rsid w:val="00B478DF"/>
    <w:rsid w:val="00B52BBB"/>
    <w:rsid w:val="00B76069"/>
    <w:rsid w:val="00B83543"/>
    <w:rsid w:val="00BB0543"/>
    <w:rsid w:val="00BB4797"/>
    <w:rsid w:val="00BD6EE6"/>
    <w:rsid w:val="00BE1992"/>
    <w:rsid w:val="00BF6D2E"/>
    <w:rsid w:val="00C21A7A"/>
    <w:rsid w:val="00C316B2"/>
    <w:rsid w:val="00C340BD"/>
    <w:rsid w:val="00C44B14"/>
    <w:rsid w:val="00C46E2E"/>
    <w:rsid w:val="00C61B73"/>
    <w:rsid w:val="00C84224"/>
    <w:rsid w:val="00C8431E"/>
    <w:rsid w:val="00C94559"/>
    <w:rsid w:val="00CA68E3"/>
    <w:rsid w:val="00CC5852"/>
    <w:rsid w:val="00CF106D"/>
    <w:rsid w:val="00CF26E2"/>
    <w:rsid w:val="00CF6E2F"/>
    <w:rsid w:val="00D00BAF"/>
    <w:rsid w:val="00D04CDA"/>
    <w:rsid w:val="00D208F2"/>
    <w:rsid w:val="00D35182"/>
    <w:rsid w:val="00D57D09"/>
    <w:rsid w:val="00D66C10"/>
    <w:rsid w:val="00D7358D"/>
    <w:rsid w:val="00D74ED5"/>
    <w:rsid w:val="00D80279"/>
    <w:rsid w:val="00D91228"/>
    <w:rsid w:val="00D93F22"/>
    <w:rsid w:val="00D9482D"/>
    <w:rsid w:val="00DA12AF"/>
    <w:rsid w:val="00DA6B50"/>
    <w:rsid w:val="00DB1A9D"/>
    <w:rsid w:val="00DB20C9"/>
    <w:rsid w:val="00DC2DFC"/>
    <w:rsid w:val="00DE15F9"/>
    <w:rsid w:val="00E00D60"/>
    <w:rsid w:val="00E37C8E"/>
    <w:rsid w:val="00E40515"/>
    <w:rsid w:val="00E677E5"/>
    <w:rsid w:val="00E7326C"/>
    <w:rsid w:val="00E813FE"/>
    <w:rsid w:val="00EA1DDF"/>
    <w:rsid w:val="00EA32A6"/>
    <w:rsid w:val="00EA389E"/>
    <w:rsid w:val="00EA715A"/>
    <w:rsid w:val="00EC0276"/>
    <w:rsid w:val="00EC294F"/>
    <w:rsid w:val="00ED21F8"/>
    <w:rsid w:val="00EE1E91"/>
    <w:rsid w:val="00F15B3B"/>
    <w:rsid w:val="00F275A4"/>
    <w:rsid w:val="00F31E42"/>
    <w:rsid w:val="00F345EC"/>
    <w:rsid w:val="00F51CF9"/>
    <w:rsid w:val="00F55261"/>
    <w:rsid w:val="00F5571F"/>
    <w:rsid w:val="00F56DA0"/>
    <w:rsid w:val="00FA790F"/>
    <w:rsid w:val="00FC642E"/>
    <w:rsid w:val="00FC7AE0"/>
    <w:rsid w:val="00FD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9AD9"/>
  <w15:chartTrackingRefBased/>
  <w15:docId w15:val="{98E6044F-6C46-4610-9A06-BB9771A5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BA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0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emf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7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Joey |</dc:creator>
  <cp:keywords/>
  <dc:description/>
  <cp:lastModifiedBy>| Joey |</cp:lastModifiedBy>
  <cp:revision>197</cp:revision>
  <cp:lastPrinted>2018-11-04T23:31:00Z</cp:lastPrinted>
  <dcterms:created xsi:type="dcterms:W3CDTF">2018-11-04T19:56:00Z</dcterms:created>
  <dcterms:modified xsi:type="dcterms:W3CDTF">2018-11-05T14:02:00Z</dcterms:modified>
</cp:coreProperties>
</file>