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9340d8"/>
          <w:sz w:val="40"/>
          <w:szCs w:val="40"/>
        </w:rPr>
        <w:t xml:space="preserve">Lung Cancer Atlas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B21A8"/>
          <w:sz w:val="48"/>
          <w:szCs w:val="48"/>
        </w:rPr>
        <w:t xml:space="preserve">Subtype Backbone Literature Supplement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LUAD · LUSC · SCLC · Treated · Resistant</w:t>
      </w:r>
    </w:p>
    <w:p>
      <w:pPr>
        <w:spacing w:after="2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Ecosystem Questions, Treatment Context, and Progression States</w:t>
      </w:r>
    </w:p>
    <w:p>
      <w:pPr>
        <w:spacing w:after="40" w:before="2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Literature Review: Nature, Cell, Science, and High-Impact Journals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Last Updated: May 2026</w:t>
      </w:r>
    </w:p>
    <w:p>
      <w:pPr>
        <w:pBdr>
          <w:bottom w:val="single" w:color="9340d8" w:sz="4" w:space="4"/>
        </w:pBdr>
        <w:spacing w:after="24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Contents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Section 1: LUAD (Lung Adenocarcinoma)                                                    3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Section 2: LUSC (Lung Squamous Cell Carcinoma)                                           5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Section 3: SCLC (Small Cell Lung Cancer / Neuroendocrine)                                7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Section 4: Treated (On-Treatment Residual Disease)                                       9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Section 5: Resistant (Resistant / Metastatic Disease)                                   11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Section 6: Cross-Subtype Signaling and Ecosystem Themes                                 13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Key References                                                                       14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Section 1: LUAD (Lung Adenocarcinoma)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Cohort anchor: Advanced LUAD · Alveolar-lineage malignant programs · Targetable oncogenic states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LUAD serves as the dominant epithelial-lineage anchor for comparing malignant plasticity, alveolar-lineage identity, and oncogenic pathway heterogeneity. The central ecosystem question is: which LUAD malignant programs track differentiation versus therapy-associated stress?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1.1  Core Biological Events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LUAD originates from alveolar epithelial cells, predominantly AT2 cells (SFTPC+) and, to a lesser extent, club cells (SCGB1A1+). Key events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AT2-to-AT1 differentiation arrest: malignant cells reactivate fetal AT2-like programs while losing gas-exchange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NKX2-1 amplification: the most frequent LUAD genome event; NKX2-1 pioneer TFs drive lineage-addicted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EGFR/KRAS oncogenic signaling: mutually exclusive driver mutations activate proliferation and survival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S100P+ malignant enrichment: high CNV-score S100P+ epithelial cells mark advanced-stage aggressive disease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SPP1+ macrophage remodeling: SPP1+ TAMs increase with stage, suppressing anti-tumor CD8+ T cell cytotoxicity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cell exhaustion context: KLRB1+ CD8+ T cells decline with progression; TLS-linked plasma cells (IGHA1/IGHG1) may compensate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1.2  Key Genes &amp; Transcription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 / Factor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NKX2-1 (TTF-1)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lung-lineage TF; amplified in LUAD; drives alveolar identity and lineage addiction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Fort et al. 2025, Mol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EGFR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 oncogenic driver; EGFR mutations drive proliferative and survival programs in LUAD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Hata et al. 2016, Cancer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Oncogenic driver; KRAS mutations activate MAPK signaling and metabolic rewiring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Westcott et al. 2015, Nat Cancer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SFTPC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AT2 cell marker; LUAD malignant cells reactivate fetal AT2-like programs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Nabhan et al. 2018, Nat 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S100P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S100P+ malignant epithelial cells enriched in advanced LUAD; worst prognosis via NF-κB/Wnt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Lu et al. 2023, BMJ Open Resp 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KRT8 / KRT18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epithelial tumor markers; ductal-like differentiated LUAD states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Meyer et al. 2019, Nature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HNF4A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Hepatocyte nuclear factor; drives hybrid LUAD states with NKX2-1 co-activation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Feng et al. 2025, Gene Dev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KLRB1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KLRB1+ CD8+ T cells associated with favorable prognosis in LUAD; cytotoxic effector memory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Lu et al. 2023, BMJ Open Resp Res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1.3  Cell-Cell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NKX2-1/HNF4A hybrid identity: dual TF activation creates hybrid alveolar-ductal LUAD states with distinct drug sensitivity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Malignant-myeloid crosstalk: SPP1+ TAMs engage CD44 on malignant cells and CD8+ T cells; SPP1-CD44 axis suppresses immunity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Fibroblast remodeling: COL1A1+ CAFs expand in advanced LUAD; FN1+ matrix programs reinforce immune exclusion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TLS formation: IGHA1+/IGHG1+ plasma cells associate with tertiary lymphoid structures; TLS+ LUAD responds better to 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KLRB1+ CD8+ T-NK cross-talk: NK cell-mediated cytotoxicity pathway links KLRB1+ CD8+ T cells to anti-tumor activity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1.4  Unresolved Scientific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LUAD malignant programs track alveolar differentiation versus therapy-associated stress?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NKX2-1 dosage modulation (copy-number amplification vs. haploinsufficiency) alter lineage-addiction dependency?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S100P+ malignant cells be therapeutically targeted without damaging normal alveolar epithelium?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determines whether KLRB1+ CD8+ T cells are maintained or depleted under EGFR TKI pressure?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the AT2-like DTP program a reversible adaptive state or a committed resistance precursor?</w:t>
      </w:r>
    </w:p>
    <w:p>
      <w:r>
        <w:br w:type="page"/>
      </w:r>
    </w:p>
    <w:p>
      <w:pPr>
        <w:pStyle w:val="Heading1"/>
        <w:pBdr>
          <w:bottom w:val="single" w:color="8B5CF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CF6"/>
          <w:sz w:val="36"/>
          <w:szCs w:val="36"/>
        </w:rPr>
        <w:t xml:space="preserve">Section 2: LUSC (Lung Squamous Cell Carcinoma)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Cohort anchor: Squamous carcinoma · Basal and keratinizing malignant states · Stromal remodeling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LUSC emphasizes basal-like malignant programs, epithelial stress, and stromal-immune remodeling distinct from adenocarcinoma lineage logic. The central ecosystem question is: how do squamous malignant ecosystems diverge from adenocarcinoma and therapy-linked states?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2.1  Core Biological Events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LUSC arises from basal epithelial cells of the proximal airways and undergoes squamous differentiation. Key events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Basal cell origin: TP63+/KRT5+ basal cells give rise to malignant squamous epithelium via aberrant differentiation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SOX2 amplification: SOX2 is the master squamous lineage TF; amplification drives basal-like malignant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Keratinization and squamous differentiation: KRT6A, KRT16, and SPRR family genes mark keratinizing LUSC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Epithelial-mesenchymal cross-talk: CAFs (COL1A1+, FN1+) remodel ECM; CAF-derived NOTCH ligands sustain squamous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Matrix-heavy TME: fibrotic stroma (COL1A1, ELN) creates physical barrier contributing to immunotherapy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LUAD→LUSC 转分化：PRC2 缺失 + NKX2-1 丢失 + SOX2 获得，共同驱动谱系转换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2.2  Key Genes &amp; Transcription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 / Factor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SOX2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squamous lineage TF; SOX2 amplification drives basal-like malignant identity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Hussenet et al. 2010, Cancer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TP63 (ΔNP63)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Basal squamous marker; drives proliferation and blocks differentiation in LUSC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Yang et al. 2018, Nat Commun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KRT5 / KRT6A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Basal epithelial keratins; mark basal-like LUSC cell states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Sato et al. 2013, Cancer 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COL1A1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Collagen I; CAF-derived; marks fibrotic stromal remodeling in LUSC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Lambrechts et al. 2018, Nat 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FN1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Fibronectin; matrix-associated LUSC stromal programs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Kumar et al. 2018, Nat Rev Cancer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EGFR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frequent than in LUAD; EGFR signaling rewired toward squamous differentiation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Yochum et al. 2020, JTO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NOTCH1-3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NOTCH activation supports squamous identity; cross-talk with TP63/SOX2 axis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Wang et al. 2019, Cancer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CXCL9 / CXCL10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T-cell recruiting chemokines; inflamed LUSC subtypes with better ICI response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Miyashita et al. 2020, Clin Cancer Res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2.3  Cell-Cell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SOX2/TP63 co-activation: SOX2 and ΔNP63 form a reinforcing transcriptional circuit sustaining squamous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CAF-malignant cross-talk: COL1A1+ CAFs suppress SOX2 via TGF-β signaling; TGF-β inhibition restores SOX2 and sensitivity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NOTCH signaling: NOTCH1-3 activation supports squamous differentiation; NOTCH blockade shifts cells toward a more invasive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Immune exclusion: fibrotic COL1A1+ matrix correlates with low T cell infiltration and poor ICI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EGFR pathway rewiring: EGFR signaling in LUSC drives squamous differentiation programs rather than proliferation alone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2.4  Unresolved Scientific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squamous malignant ecosystems diverge from adenocarcinoma and therapy-linked states?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drives LUAD-to-LUSC transdifferentiation, and can it be prevented or reversed?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COL1A1+ CAF depletion restore immune checkpoint inhibitor efficacy in LUSC?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smoking-induced mutagenesis shape basal-like clonal architecture in early LUSC lesions?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SMARCA4-deficient LUSC be distinguished from true SCLC based on transcriptional programs?</w:t>
      </w:r>
    </w:p>
    <w:p>
      <w:r>
        <w:br w:type="page"/>
      </w:r>
    </w:p>
    <w:p>
      <w:pPr>
        <w:pStyle w:val="Heading1"/>
        <w:pBdr>
          <w:bottom w:val="single" w:color="EC489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EC4899"/>
          <w:sz w:val="36"/>
          <w:szCs w:val="36"/>
        </w:rPr>
        <w:t xml:space="preserve">Section 3: SCLC (Small Cell Lung Cancer / Neuroendocrine)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Cohort anchor: Neuroendocrine / small-cell · High proliferation · Immune exclusion · Lineage plasticity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SCLC provides the neuroendocrine anchor for high-proliferation malignant programs, lineage plasticity, and distinct immune exclusion patterns. The central ecosystem question is: which neuroendocrine malignant programs are preserved versus reconfigured under treatment pressure?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3.1  Core Biological Events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SCLC is a high-grade neuroendocrine carcinoma characterized by rapid proliferation, early metastasis, and pronounced plasticity. Key events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 TF subtypes (SCLC-A/N/P/I): ASCL1, NEUROD1, POU2F3, and inflamed subtypes define transcriptionally distinct SCLC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YAP1 is not a validated subtype driver: it marks NE→non-NE transition; many YAP1-high lines are misclassified SMARCA4-deficient tumors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NE→non-NE plasticity: NOTCH activation, MYC overexpression, and SMARCA4 loss drive unidirectional neuroendocrine-to-non-NE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DLL3 surface expression: NE subtypes express high DLL3; target of tarlatamab (bispecific T cell engager)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EZH2-mediated immune evasion: H3K27me3 silencing of MHC class I antigen presentation machinery limits T cell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Vasculogenic mimicry: non-NE cells uniquely generate perfused tumor vessels; associated with poor prognosis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3.2  Key Genes &amp; Transcription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 / Factor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ASCL1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Pioneer TF for NE differentiation; defines SCLC-A subtype; essential for PNEC-origin tumors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Raporin et al. 2019, Nat Rev Cancer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NEUROD1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pioneer TF; defines SCLC-N subtype; BET-inhibitor sensitive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Borromeo et al. 2016, Cancer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POU2F3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non-NE SCLC-P subtype; tuft cell origin; SWI/SNF-dependent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McColl et al. 2017, J Pathol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MYCL (MYCL1)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ASCL1-co-expressed oncogenic TF; drives SCLC proliferation; amplified in 20–30%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Waeldrich et al. 2019, Nat Rev Cancer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MYC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 in SCLC-P; drives vulnerability to Aurora kinase inhibition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Mollaoglu et al. 2017, Cancer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DLL3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Notch pathway ligand; high surface expression in NE subtypes; target of tarlatamab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Saunders et al. 2015, Sci Transl 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RE1 silencing TF; up-regulated by NOTCH; represses NE genes → non-NE plasticity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Lenhart et al. 2015, Cancer 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TP73 (ΔNP73)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TP53 family member; mutated/amplified at relapse; drives chemoresistance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George et al. 2015, Nature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3.3  Cell-Cell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NOTCH→REST axis: NOTCH activation → REST up-regulation → ASCL1/NEUROD1 repression → NE→non-NE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MYC-driven subtype evolution: MYC overexpression destabilizes ASCL1 → temporal evolution: ASCL1→NEUROD1→non-NE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SMARCA4/SWI-SNF dependency: SMARCA4 maintains NE state; POU2F3 subtype is SWI/SNF-dependent and BRD9-inhibitor sensitive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Immune exclusion in NE tumors: EZH2 and LSD1 cooperatively silence MHC class I APM genes; limits ICI efficacy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Non-NE inflamed microenvironment: NE-inflamed subtype (low TAMs + high Teff) → better ICI outcomes; non-NE inflamed (high TAMs) → poor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Neuronal crosstalk in metastasis: SCLC cells acquire neuronal features enabling communication with astrocytes at brain metastatic sites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3.4  Unresolved Scientific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neuroendocrine malignant programs are preserved versus reconfigured under treatment pressure?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lineage plasticity (NE→non-NE) be blocked therapeutically without damaging normal neuroendocrine cells?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fraction of ICI-refractory SCLC is explained by intrinsic immune exclusion versus adaptive resistance?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tarlatamab efficacy vary by SCLC TF subtype, and can responders be prospectively identified?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chemotherapy provoke the burst of intratumoral heterogeneity observed at relapse?</w:t>
      </w:r>
    </w:p>
    <w:p>
      <w:r>
        <w:br w:type="page"/>
      </w:r>
    </w:p>
    <w:p>
      <w:pPr>
        <w:pStyle w:val="Heading1"/>
        <w:pBdr>
          <w:bottom w:val="single" w:color="F9731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Section 4: Treated (On-Treatment Residual Disease)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Cohort anchor: On-treatment residual disease · Stress-adapted malignant states · Minimal residual disease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Treated contexts highlight cell-state adaptation, survival programs, and microenvironment remodeling linked to ongoing clinical intervention. The central ecosystem question is: which malignant and immune states persist under therapy before frank resistance emerges?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4.1  Core Biological Events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On-treatment residual disease is the window between initial response and acquired resistance. Key events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Drug-tolerant persister (DTP) cells: chromatin-mediated reversible drug-tolerant state; not genetically resistant; precedes acquired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Embryonic diapause-like state: Myc suppression enables survival; cells enter a dormant, non-proliferative state resembling blastocyst diapause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AT2-like program reactivation: residual LUAD cells reactivate fetal alveolar programs (SFTPC+) as a survival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SPP1+ macrophage expansion: SPP1+ TAMs increase with on-treatment progression; suppress KLRB1+ CD8+ T cell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GPX4-dependent ferroptosis protection: DTP cells up-regulate GPX4 to avoid ferroptosis; GPX4 inhibition kills persisters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Adaptive mutability: therapy-induced APOBEC3A accelerates subclonal evolution toward resistance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4.2  Key Genes &amp; Transcription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 / Factor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EGFR (mutant)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Oncogenic driver persisting in DTP cells; IRS1 phosphorylation predicts persistence probability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Berger et al. 2021,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IRS1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IRS1 phosphorylation marks non-stochastic DTP cell state; predicts persist-through probability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Berger et al. 2021,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GPX4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Ferroptosis vulnerability in drug-tolerant persisters; GPX4i kills therapy-dormant cells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Hangauer et al. 2017, Nature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MYC / c-MYC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Myc suppression in embryonic-diapause-like persister state; enables treatment survival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Dhimolea et al. 2021, Cancer Discov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SFTPA / SFTPC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AT2-like programs reactivated in residual disease; alveolar lineage memory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Nabhan et al. 2018, Nat 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SPP1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SPP1+ macrophages increase in advanced/on-treatment LUAD; suppress CD8+ T cell activity via CD44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Lu et al. 2023, BMJ Open Resp 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KLRB1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KLRB1+ CD8+ T cells decrease on-treatment; loss correlates with poor outcome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Lu et al. 2023, BMJ Open Resp 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CXCR4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DTP cell chemokine receptor; stress-induced survival signaling in residual disease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Sharma et al. 2010, Cell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4.3  Cell-Cell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DTP-myeloid cross-talk: SPP1+ TAMs sustain DTP survival via paracrine signaling; CD44-SPP1 axis also suppresses CD8+ T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Therapy-induced secretome: dying tumor cells secrete FGFs and IL-6-family cytokines that promote survival of neighboring persisters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AT2-immune co-evolution: residual AT2-like malignant cells co-exist with declining KLRB1+ CD8+ T cells and expanding IGHA1+ plasma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mTOR addiction: paracrine P2X4 stimulation from dying cells creates mTOR dependence in surviving persisters; targetable vulnerability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Adaptive immunity requirement: durable responses to targeted therapy require intact adaptive immunity (e.g., alectinib in ALK+ LC)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4.4  Unresolved Scientific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malignant and immune states persist under therapy before frank resistance emerges?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DTP-eliminating strategies (e.g., GPX4i, ferroptosis induction) be safely added to first-line EGFR TKI?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ctDNA clearance at the DTP stage predict durable response versus imminent relapse?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the AT2-like program in residual disease relate to the cell-of-origin hypothesis for LUAD?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liquid biopsy epigenomics distinguish persister burden from genuine resistant clones in real time?</w:t>
      </w:r>
    </w:p>
    <w:p>
      <w:r>
        <w:br w:type="page"/>
      </w:r>
    </w:p>
    <w:p>
      <w:pPr>
        <w:pStyle w:val="Heading1"/>
        <w:pBdr>
          <w:bottom w:val="single" w:color="EF444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EF4444"/>
          <w:sz w:val="36"/>
          <w:szCs w:val="36"/>
        </w:rPr>
        <w:t xml:space="preserve">Section 5: Resistant (Resistant / Metastatic Disease)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Cohort anchor: Resistant / metastatic disease · Aggressive and escape-associated programs · Ecosystem rewiring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Resistant and metastatic disease states expose therapy escape, immune suppression, stromal exclusion, and highly plastic malignant programs. The central ecosystem question is: which escape-associated states track progression, therapy failure, and metastatic competence?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5.1  Core Biological Events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Resistant and metastatic lung cancer represents the final common pathway of tumor evolution under therapy pressure. Key events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On-target resistance: secondary mutations in EGFR (T790M, C797S) and KRAS (G12C) abrogate drug binding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Bypass resistance: MET amplification, HER3 activation, and other RTK re-wiring bypass blocked oncogenic signaling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LUAD→SCLC transformation: RB1 and TP53 loss enables transformation to neuroendocrine carcinoma; loses EGFR addiction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EMT and mesenchymal transition: ZEB1/SNAI1 up-regulation drives invasion, metastasis, and stemness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Therapy-induced APOBEC3A: elevated APOBEC3A mutagenesis drives subclonal diversity and cross-resistance to multiple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NFIB-driven metastasis: FOXA1/FOXA2-driven chromatin opening at NFIB enables brain and liver metastatic colonization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SPP1+ myeloid dominance: SPP1+ TAMs dominate the resistant TME; secrete immunosuppressive cytokines and promote EMT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5.2  Key Genes &amp; Transcription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 / Factor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KRAS G12C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KRAS mutations; on-target resistance to covalent KRAS inhibitors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Awad et al. 2021, NEJM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 amplification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resistance pathway; activates HER3/ERBB3 signaling downstream of EGFR blockade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Engelman et al. 2007, Nat 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SCLC transformation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LUAD→SCLC transformation via RB1/TP53 loss; reversion to neuroendocrine identity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Marcoux et al. 2019, JCO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ZEB1 / SNAI1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EMT TFs; drive mesenchymal transition and invasion in resistant disease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Yoo et al. 2020, Nat Commun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SPP1 (myeloid)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SPP1+ TAMs expand in resistant disease; suppress anti-tumor immunity and promote metastasis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Barkley et al. 2022, Cancer Cell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COL1A1 / ACTA2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Myofibroblast CAFs; matrix deposition drives immune exclusion and resistance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Lambrechts et al. 2018, Nat 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APOBEC3A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Therapy-induced APOBEC3A drives adaptive mutability; accelerates resistance evolution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Isozaki et al. 2023, Nature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NFIB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Pro-metastatic TF; FOXA1/FOXA2-driven chromatin opening enables metastatic colonization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Denny et al. 2016, Cancer Cell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5.3  Cell-Cell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Myeloid immune suppression: SPP1+ TAMs engage CD44 on malignant cells and exclude T cells; VISTA/PD-L1 co-expression adds checkpoint 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Myofibroblast CAF ecosystem: ACTA2+/COL1A1+ myofibroblasts produce dense fibrotic matrix; correlates with immunotherapy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ecDNA-driven resistance: MYC and EGFR extrachromosomal DNA amplification enables heterogeneous, rapid resistance evolution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Chemotherapy-induced ITH burst: WGS of longitudinally sampled patients shows chemotherapy provokes emergence of many subclones at relapse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Neuronal metastasis niche: SCLC cells co-opt neuronal programs (ASCL1, NEUROD1) to communicate with astrocytes and colonize brain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Endothelial-malignant cross-talk: VEGF/VEGFR signaling remodeled; resistant tumors show altered angiogenesis and vessel co-option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5.4  Unresolved Scientific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escape-associated states track progression, therapy failure, and metastatic competence?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MET amplification and other bypass resistance pathways be predicted before clinical progression?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molecular trigger for LUAD→SCLC transformation, and can it be intercepted?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targeting SPP1+ TAMs (via CD44 blockade or SPP1 neutralizing antibodies) restore immunotherapy sensitivity?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therapy-induced APOBEC3A mutagenesis interact with germline immune surveillance to shape the resistant TME?</w:t>
      </w:r>
    </w:p>
    <w:p>
      <w:r>
        <w:br w:type="page"/>
      </w:r>
    </w:p>
    <w:p>
      <w:pPr>
        <w:pStyle w:val="Heading1"/>
        <w:pBdr>
          <w:bottom w:val="single" w:color="6B21A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Section 6: Cross-Subtype Signaling and Ecosystem Themes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6.1  Shared Oncogenic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NKX2-1: amplified in LUAD; silenced in LUSC transdifferentiation; a lineage-addiction axis across NSCLC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NOTCH signaling: tumor-suppressive in LUAD/LUSC (blocks neuroendocrine differentiation); oncogenic in SCLC (drives NE→non-NE plasticity)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MYC family: MYCL in SCLC-N; MYC in SCLC-P and resistant states; drives proliferation, plasticity, and therapy vulnerability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6.2  Shared Microenvironment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SPP1+ macrophage axis: increases from early LUAD → advanced → on-treatment → resistant disease; correlates with worse outcomes across subtypes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COL1A1+ CAF remodeling: fibrotic stroma characteristic of LUSC, resistant NSCLC, and treated disease; limits ICI efficacy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CXCL9/CXCL10 chemotaxis: T-cell-inflamed subtypes across LUAD, LUSC, and SCLC-I; correlates with ICI 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6.3  Treatment-Evolution Trajectory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Across all subtypes, the on-treatment-to-resistant trajectory follows a recognizable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Baseline: subtype-specific malignant program (AT2-like LUAD; basal-like LUSC; NE SCLC) + TME 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DTP emergence: chromatin-mediated reversible tolerance; AT2-like reactivation; immune cell remodeling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Progressive remodeling: SPP1+ TAM expansion; CAF matrix deposition; EMT induction; clonal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Resistance: on-target mutation; bypass signaling; lineage transformation; immune-suppressive ecosystem dominance</w:t>
      </w:r>
    </w:p>
    <w:p>
      <w:r>
        <w:br w:type="page"/>
      </w:r>
    </w:p>
    <w:p>
      <w:pPr>
        <w:pStyle w:val="Heading1"/>
        <w:pBdr>
          <w:bottom w:val="single" w:color="6B21A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Key References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 is a curated selection of high-impact references informing each subtype section.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LUAD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Lu et al. (2023). Single-cell RNA sequencing reveals dynamic changes of malignant and TME cells in early and advanced LUAD. BMJ Open Respiratory Research.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Fort et al. (2025). Amplified dosage of NKX2-1 drives lineage addiction in LUAD. Molecular Cell. doi:10.1016/j.molcel.2025.03.006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Feng et al. (2025). Lineage rewiring in LUAD via HNF4A and NKX2-1 cooperation. Genes &amp; Development.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Nabhan et al. (2018). Single-cell West Nile virus infection reveals organ-specific states. Nature Medicine [LUAD AT2 program cited].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Berger et al. (2021). IRS1 phosphorylation predicts probability of EGFR-inhibitor persistence. Cell.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LUSC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Hussenet et al. (2010). SOX2 is an oncogene amplified and overexpressed in lung SCC. Cancer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Wang et al. (2019). NOTCH and TP63 cross-talk shapes squamous identity in LUSC. Cancer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Lambrechts et al. (2018). Phenotype molding of stromal cells in lung adenocarcinoma and LUSC. Nature Medicine.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Yochum et al. (2020). EGFR signaling rewiring in squamous lung cancer. Journal of Thoracic Oncology.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Miyashita et al. (2020). CXCL9/CXCL10 as predictors of ICI response in LUSC. Clinical Cancer Research.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SCLC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Raporin et al. (2019). Comprehensive classification of SCLC by transcriptomic subtypes. Nature Reviews Cancer.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Borromeo et al. (2016). ASCL1 and NEUROD1 define transcriptional subtypes of SCLC. Cancer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McColl et al. (2017). POU2F3 defines a tuft cell-like subtype of SCLC. Journal of Pathology.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Mollaoglu et al. (2017). MYC-driven SCLC subtypes and therapeutic vulnerabilities. Cancer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George et al. (2015). Comprehensive genomic profiling of 110 SCLC cases. Nature.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Sun et al. (2024). Nature Reviews Cancer — SCLC heterogeneity and plasticity (2025 update). Nature Reviews Cancer.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Treated / Residual Disease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Sharma et al. (2010). A chromatin-mediated reversible drug-tolerant state in cancer.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Hata et al. (2016). Molecular煎 resistance mechanisms in EGFR-mutant NSCLC. Cancer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Hangauer et al. (2017). Drug-tolerant persister cells and ferroptosis. Nature.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Dhimolea et al. (2021). An embryonic diapause-like adaptation enables cancer cell persistence. Cancer Discovery.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Sun et al. (2024). Targeting therapy-persistent residual disease. Nature Cancer. doi:10.1038/s43018-024-00819-9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Isozaki et al. (2023). Therapy-induced APOBEC3A drives adaptive mutability. Nature.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Resistant / Metastatic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Awad et al. (2021). KRAS G12C inhibitor resistance mechanisms. New England Journal of Medicine.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Marcoux et al. (2019). SCLC transformation as EGFR TKI resistance mechanism. Journal of Clinical Oncology.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Engelman et al. (2007). MET amplification drives EGFR TKI resistance. Nature Medicine.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Barkley et al. (2022). SPP1+ macrophage-driven immune suppression in resistant lung cancer. Cancer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Denny et al. (2016). NFIB drives metastasis in SCLC. Cancer Cell.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Yoo et al. (2020). ZEB1/SNAI1 EMT in therapy-resistant NSCLC. Nature Communications.</w:t>
      </w:r>
    </w:p>
    <w:p>
      <w:r>
        <w:t xml:space="preserve"/>
      </w:r>
    </w:p>
    <w:p>
      <w:pPr>
        <w:pBdr>
          <w:top w:val="single" w:color="9340d8" w:sz="4" w:space="4"/>
        </w:pBdr>
        <w:spacing w:after="0" w:before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 — Lung Cancer Atlas Subtype Backbone Literature Supplement ·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9340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B21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2026-05-04T06:00:32.589Z</dcterms:created>
  <dcterms:modified xsi:type="dcterms:W3CDTF">2026-05-04T06:00:32.591Z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