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rFonts w:ascii="Segoe UI" w:cs="Segoe UI" w:eastAsia="Segoe UI" w:hAnsi="Segoe UI"/>
          <w:b/>
          <w:bCs/>
          <w:color w:val="F2A900"/>
          <w:spacing w:val="60"/>
          <w:sz w:val="18"/>
          <w:szCs w:val="18"/>
        </w:rPr>
        <w:t xml:space="preserve">AURORA DYNAMICS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B3A5C"/>
          <w:sz w:val="46"/>
          <w:szCs w:val="46"/>
        </w:rPr>
        <w:t xml:space="preserve">Aurora Brand Guide</w:t>
      </w:r>
    </w:p>
    <w:p>
      <w:pPr>
        <w:spacing w:after="320"/>
      </w:pPr>
      <w:r>
        <w:rPr>
          <w:rFonts w:ascii="Segoe UI" w:cs="Segoe UI" w:eastAsia="Segoe UI" w:hAnsi="Segoe UI"/>
          <w:color w:val="5A6673"/>
          <w:sz w:val="24"/>
          <w:szCs w:val="24"/>
        </w:rPr>
        <w:t xml:space="preserve">Identity, typography, layout, data, and voice standards</w:t>
      </w:r>
    </w:p>
    <w:p>
      <w:pPr>
        <w:spacing w:after="900"/>
      </w:pPr>
      <w:r>
        <w:rPr>
          <w:rFonts w:ascii="Segoe UI" w:cs="Segoe UI" w:eastAsia="Segoe UI" w:hAnsi="Segoe UI"/>
          <w:i/>
          <w:iCs/>
          <w:color w:val="5A6673"/>
          <w:sz w:val="18"/>
          <w:szCs w:val="18"/>
        </w:rPr>
        <w:t xml:space="preserve">See the failure before it happens.</w:t>
      </w:r>
    </w:p>
    <w:p>
      <w:r>
        <w:br w:type="page"/>
      </w:r>
    </w:p>
    <w:p>
      <w:pPr>
        <w:spacing w:after="200" w:before="240"/>
      </w:pPr>
      <w:r>
        <w:rPr>
          <w:rFonts w:ascii="Segoe UI" w:cs="Segoe UI" w:eastAsia="Segoe UI" w:hAnsi="Segoe UI"/>
          <w:b/>
          <w:bCs/>
          <w:color w:val="1B3A5C"/>
          <w:sz w:val="34"/>
          <w:szCs w:val="34"/>
        </w:rPr>
        <w:t xml:space="preserve">Aurora Dynamics Brand Guide</w:t>
      </w:r>
    </w:p>
    <w:p>
      <w:pPr>
        <w:spacing w:after="140" w:line="276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Aurora Dynamics presents industrial AI as calm, evidence-led, and operationally trustworthy. The system should feel precise without feeling cold, modern without relying on decorative effects, and confident without overstating what data can prove.</w:t>
      </w:r>
    </w:p>
    <w:tbl>
      <w:tblPr>
        <w:tblW w:type="pct" w:w="100%"/>
        <w:tblBorders>
          <w:top w:val="none"/>
          <w:left w:val="single" w:color="F2A900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DF6E6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B14"/>
                <w:sz w:val="19"/>
                <w:szCs w:val="19"/>
              </w:rPr>
              <w:t xml:space="preserve">Tagline: See the failure before it happens.</w:t>
            </w:r>
          </w:p>
        </w:tc>
      </w:tr>
    </w:tbl>
    <w:p>
      <w:pPr>
        <w:spacing w:after="140" w:before="260"/>
      </w:pPr>
      <w:r>
        <w:rPr>
          <w:rFonts w:ascii="Segoe UI" w:cs="Segoe UI" w:eastAsia="Segoe UI" w:hAnsi="Segoe UI"/>
          <w:b/>
          <w:bCs/>
          <w:color w:val="1B3A5C"/>
          <w:sz w:val="26"/>
          <w:szCs w:val="26"/>
        </w:rPr>
        <w:t xml:space="preserve">Core identity</w:t>
      </w:r>
    </w:p>
    <w:tbl>
      <w:tblPr>
        <w:tblW w:type="pct" w:w="100%"/>
        <w:tblBorders>
          <w:top w:val="single" w:color="C9D3DD" w:sz="2"/>
          <w:left w:val="none"/>
          <w:bottom w:val="single" w:color="C9D3DD" w:sz="2"/>
          <w:right w:val="none"/>
          <w:insideH w:val="single" w:color="DDE4EA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shd w:fill="1B3A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Primary color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#1B3A5C deep navy</w:t>
            </w:r>
          </w:p>
        </w:tc>
      </w:tr>
      <w:tr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Accent color</w:t>
            </w:r>
          </w:p>
        </w:tc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#F2A900 amber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Heading typeface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Segoe UI Semibold</w:t>
            </w:r>
          </w:p>
        </w:tc>
      </w:tr>
      <w:tr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Body typeface</w:t>
            </w:r>
          </w:p>
        </w:tc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Segoe UI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Primary tagline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See the failure before it happens.</w:t>
            </w:r>
          </w:p>
        </w:tc>
      </w:tr>
    </w:tbl>
    <w:p>
      <w:pPr>
        <w:spacing w:after="140" w:before="260"/>
      </w:pPr>
      <w:r>
        <w:rPr>
          <w:rFonts w:ascii="Segoe UI" w:cs="Segoe UI" w:eastAsia="Segoe UI" w:hAnsi="Segoe UI"/>
          <w:b/>
          <w:bCs/>
          <w:color w:val="1B3A5C"/>
          <w:sz w:val="26"/>
          <w:szCs w:val="26"/>
        </w:rPr>
        <w:t xml:space="preserve">Logo usage</w:t>
      </w:r>
    </w:p>
    <w:p>
      <w:pPr>
        <w:spacing w:after="140" w:line="276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Use the Aurora Dynamics wordmark on clean, high-contrast backgrounds. The preferred presentation is navy wordmark on white or white wordmark on navy. Amber may be used as a rule, underline, or small emphasis mark, not as the primary logo color.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Minimum clear space equals the height of the capital A in the wordmark on all sides.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Do not stretch, rotate, recolor, outline, or add shadows to the wordmark.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Do not place the wordmark inside dense charts, photography, or textured panels.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Use the full company name on first mention and the wordmark only where the company identity is already clear.</w:t>
      </w:r>
    </w:p>
    <w:p>
      <w:pPr>
        <w:spacing w:after="140" w:before="260"/>
      </w:pPr>
      <w:r>
        <w:rPr>
          <w:rFonts w:ascii="Segoe UI" w:cs="Segoe UI" w:eastAsia="Segoe UI" w:hAnsi="Segoe UI"/>
          <w:b/>
          <w:bCs/>
          <w:color w:val="1B3A5C"/>
          <w:sz w:val="26"/>
          <w:szCs w:val="26"/>
        </w:rPr>
        <w:t xml:space="preserve">Color system</w:t>
      </w:r>
    </w:p>
    <w:p>
      <w:pPr>
        <w:spacing w:after="140" w:line="276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Navy is the anchor for headings, section dividers, and high-emphasis blocks. Amber is reserved for progress cues, callout rules, small highlights, and status moments that require attention. Neutral greys should carry supporting labels and metadata.</w:t>
      </w:r>
    </w:p>
    <w:tbl>
      <w:tblPr>
        <w:tblW w:type="pct" w:w="100%"/>
        <w:tblBorders>
          <w:top w:val="single" w:color="C9D3DD" w:sz="2"/>
          <w:left w:val="none"/>
          <w:bottom w:val="single" w:color="C9D3DD" w:sz="2"/>
          <w:right w:val="none"/>
          <w:insideH w:val="single" w:color="DDE4EA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shd w:fill="1B3A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Recommended treatment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Executive cover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Navy background with white title and amber rule</w:t>
            </w:r>
          </w:p>
        </w:tc>
      </w:tr>
      <w:tr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Body page</w:t>
            </w:r>
          </w:p>
        </w:tc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White background, navy headings, dark neutral text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Data emphasis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Amber accent for one selected item only</w:t>
            </w:r>
          </w:p>
        </w:tc>
      </w:tr>
      <w:tr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Risk or caution</w:t>
            </w:r>
          </w:p>
        </w:tc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Amber callout with plain language and a single action</w:t>
            </w:r>
          </w:p>
        </w:tc>
      </w:tr>
    </w:tbl>
    <w:p>
      <w:pPr>
        <w:spacing w:after="140" w:before="260"/>
      </w:pPr>
      <w:r>
        <w:rPr>
          <w:rFonts w:ascii="Segoe UI" w:cs="Segoe UI" w:eastAsia="Segoe UI" w:hAnsi="Segoe UI"/>
          <w:b/>
          <w:bCs/>
          <w:color w:val="1B3A5C"/>
          <w:sz w:val="26"/>
          <w:szCs w:val="26"/>
        </w:rPr>
        <w:t xml:space="preserve">Typography</w:t>
      </w:r>
    </w:p>
    <w:p>
      <w:pPr>
        <w:spacing w:after="140" w:line="276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Headings use Segoe UI Semibold and should be short enough to scan. Body copy uses Segoe UI with generous line spacing. Avoid condensed type, decorative fonts, or all-caps paragraphs. Use bold weight only for labels, short lead-ins, and table headers.</w:t>
      </w:r>
    </w:p>
    <w:tbl>
      <w:tblPr>
        <w:tblW w:type="pct" w:w="100%"/>
        <w:tblBorders>
          <w:top w:val="single" w:color="C9D3DD" w:sz="2"/>
          <w:left w:val="none"/>
          <w:bottom w:val="single" w:color="C9D3DD" w:sz="2"/>
          <w:right w:val="none"/>
          <w:insideH w:val="single" w:color="DDE4EA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1B3A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Suggested size</w:t>
            </w:r>
          </w:p>
        </w:tc>
        <w:tc>
          <w:tcPr>
            <w:shd w:fill="1B3A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H1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24–28 pt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Document title or major chapter</w:t>
            </w:r>
          </w:p>
        </w:tc>
      </w:tr>
      <w:tr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H2</w:t>
            </w:r>
          </w:p>
        </w:tc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16–18 pt</w:t>
            </w:r>
          </w:p>
        </w:tc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Primary section heading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H3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12–14 pt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Subsection or card heading</w:t>
            </w:r>
          </w:p>
        </w:tc>
      </w:tr>
      <w:tr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Body</w:t>
            </w:r>
          </w:p>
        </w:tc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10–11 pt</w:t>
            </w:r>
          </w:p>
        </w:tc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Narrative copy and guidance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Caption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8–9 pt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Source, date, or qualifier</w:t>
            </w:r>
          </w:p>
        </w:tc>
      </w:tr>
    </w:tbl>
    <w:p>
      <w:pPr>
        <w:spacing w:after="140" w:before="260"/>
      </w:pPr>
      <w:r>
        <w:rPr>
          <w:rFonts w:ascii="Segoe UI" w:cs="Segoe UI" w:eastAsia="Segoe UI" w:hAnsi="Segoe UI"/>
          <w:b/>
          <w:bCs/>
          <w:color w:val="1B3A5C"/>
          <w:sz w:val="26"/>
          <w:szCs w:val="26"/>
        </w:rPr>
        <w:t xml:space="preserve">Table and chart styling</w:t>
      </w:r>
    </w:p>
    <w:p>
      <w:pPr>
        <w:spacing w:after="140" w:line="276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Tables should help readers compare operational facts quickly. Use navy header rows, subtle alternating row fills, and left-aligned labels. Charts should use flat colors, direct labels, and plain axes. Every chart needs a short takeaway sentence that states what changed and why it matters.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Use amber sparingly to highlight the active period, selected option, or current status.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Avoid decorative gridlines and remove chart elements that do not support interpretation.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Round values consistently and show units in headers rather than repeating them in every cell.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Prefer line charts for time series and horizontal bars for ranked comparisons.</w:t>
      </w:r>
    </w:p>
    <w:p>
      <w:pPr>
        <w:spacing w:after="140" w:before="260"/>
      </w:pPr>
      <w:r>
        <w:rPr>
          <w:rFonts w:ascii="Segoe UI" w:cs="Segoe UI" w:eastAsia="Segoe UI" w:hAnsi="Segoe UI"/>
          <w:b/>
          <w:bCs/>
          <w:color w:val="1B3A5C"/>
          <w:sz w:val="26"/>
          <w:szCs w:val="26"/>
        </w:rPr>
        <w:t xml:space="preserve">Prohibitions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No gradient backgrounds.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No 3D charts.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No text over stock imagery.</w:t>
      </w:r>
    </w:p>
    <w:p>
      <w:pPr>
        <w:spacing w:after="140" w:before="260"/>
      </w:pPr>
      <w:r>
        <w:rPr>
          <w:rFonts w:ascii="Segoe UI" w:cs="Segoe UI" w:eastAsia="Segoe UI" w:hAnsi="Segoe UI"/>
          <w:b/>
          <w:bCs/>
          <w:color w:val="1B3A5C"/>
          <w:sz w:val="26"/>
          <w:szCs w:val="26"/>
        </w:rPr>
        <w:t xml:space="preserve">Tone of voice</w:t>
      </w:r>
    </w:p>
    <w:p>
      <w:pPr>
        <w:spacing w:after="140" w:line="276"/>
      </w:pPr>
      <w:r>
        <w:rPr>
          <w:rFonts w:ascii="Segoe UI" w:cs="Segoe UI" w:eastAsia="Segoe UI" w:hAnsi="Segoe UI"/>
          <w:color w:val="222222"/>
          <w:sz w:val="20"/>
          <w:szCs w:val="20"/>
        </w:rPr>
        <w:t xml:space="preserve">Aurora Dynamics writing should sound like an experienced operations partner. Use direct sentences, name the evidence, state the implication, and separate confirmed facts from assumptions. Do not dramatize failure; show the path to prevention.</w:t>
      </w:r>
    </w:p>
    <w:tbl>
      <w:tblPr>
        <w:tblW w:type="pct" w:w="100%"/>
        <w:tblBorders>
          <w:top w:val="single" w:color="C9D3DD" w:sz="2"/>
          <w:left w:val="none"/>
          <w:bottom w:val="single" w:color="C9D3DD" w:sz="2"/>
          <w:right w:val="none"/>
          <w:insideH w:val="single" w:color="DDE4EA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Write like this</w:t>
            </w:r>
          </w:p>
        </w:tc>
        <w:tc>
          <w:tcPr>
            <w:shd w:fill="1B3A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Avoid this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The queue returned to normal range by 06:22 SGT.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The system finally recovered after a major scare.</w:t>
            </w:r>
          </w:p>
        </w:tc>
      </w:tr>
      <w:tr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The recommendation reduces operational uncertainty before rollout.</w:t>
            </w:r>
          </w:p>
        </w:tc>
        <w:tc>
          <w:tcPr>
            <w:shd w:fill="EDF1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This is the best possible option.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Further analysis is required before assigning cause.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We know exactly why this happened.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5A6673"/>
        <w:sz w:val="16"/>
        <w:szCs w:val="16"/>
      </w:rPr>
      <w:t xml:space="preserve">Page </w:t>
    </w:r>
    <w:r>
      <w:rPr>
        <w:rFonts w:ascii="Segoe UI" w:cs="Segoe UI" w:eastAsia="Segoe UI" w:hAnsi="Segoe UI"/>
        <w:color w:val="5A66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0"/>
      </w:tabs>
      <w:spacing w:after="200"/>
    </w:pPr>
    <w:r>
      <w:rPr>
        <w:rFonts w:ascii="Segoe UI" w:cs="Segoe UI" w:eastAsia="Segoe UI" w:hAnsi="Segoe UI"/>
        <w:color w:val="5A6673"/>
        <w:sz w:val="16"/>
        <w:szCs w:val="16"/>
      </w:rPr>
      <w:t xml:space="preserve">Aurora Brand Guide</w:t>
    </w:r>
    <w:r>
      <w:rPr>
        <w:rFonts w:ascii="Segoe UI" w:cs="Segoe UI" w:eastAsia="Segoe UI" w:hAnsi="Segoe UI"/>
      </w:rPr>
      <w:t xml:space="preserve">	</w:t>
    </w:r>
    <w:r>
      <w:rPr>
        <w:rFonts w:ascii="Segoe UI" w:cs="Segoe UI" w:eastAsia="Segoe UI" w:hAnsi="Segoe UI"/>
        <w:color w:val="5A6673"/>
        <w:sz w:val="16"/>
        <w:szCs w:val="16"/>
      </w:rPr>
      <w:t xml:space="preserve">Aurora Dynamics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Brand Guide</dc:title>
  <dc:creator>Aurora Dynamics</dc:creator>
  <dc:description>Identity, typography, layout, data, and voice standards</dc:description>
  <cp:lastModifiedBy>Un-named</cp:lastModifiedBy>
  <cp:revision>1</cp:revision>
  <dcterms:created xsi:type="dcterms:W3CDTF">2026-09-05T03:12:58.117Z</dcterms:created>
  <dcterms:modified xsi:type="dcterms:W3CDTF">2026-09-05T03:12:58.117Z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