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PartName="/docMetadata/LabelInfo.xml" ContentType="application/vnd.ms-office.classificationlabel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 Id="rId5" Type="http://schemas.microsoft.com/office/2020/02/relationships/classificationlabels" Target="docMetadata/LabelInfo.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900"/>
      </w:pPr>
      <w:r>
        <w:rPr>
          <w:rFonts w:ascii="Segoe UI" w:cs="Segoe UI" w:eastAsia="Segoe UI" w:hAnsi="Segoe UI"/>
          <w:b/>
          <w:bCs/>
          <w:color w:val="F2A900"/>
          <w:spacing w:val="60"/>
          <w:sz w:val="18"/>
          <w:szCs w:val="18"/>
        </w:rPr>
        <w:t xml:space="preserve">AURORA DYNAMICS</w:t>
      </w:r>
    </w:p>
    <w:p>
      <w:pPr>
        <w:spacing w:after="80"/>
      </w:pPr>
      <w:r>
        <w:rPr>
          <w:rFonts w:ascii="Segoe UI" w:cs="Segoe UI" w:eastAsia="Segoe UI" w:hAnsi="Segoe UI"/>
          <w:b/>
          <w:bCs/>
          <w:color w:val="1B3A5C"/>
          <w:sz w:val="46"/>
          <w:szCs w:val="46"/>
        </w:rPr>
        <w:t xml:space="preserve">Project Northstar August QBR Meeting Notes</w:t>
      </w:r>
    </w:p>
    <w:p>
      <w:pPr>
        <w:spacing w:after="320"/>
      </w:pPr>
      <w:r>
        <w:rPr>
          <w:rFonts w:ascii="Segoe UI" w:cs="Segoe UI" w:eastAsia="Segoe UI" w:hAnsi="Segoe UI"/>
          <w:color w:val="5A6673"/>
          <w:sz w:val="24"/>
          <w:szCs w:val="24"/>
        </w:rPr>
        <w:t xml:space="preserve">Meridian Bank and Aurora Dynamics — Wed 12 Aug 2026</w:t>
      </w:r>
    </w:p>
    <w:p>
      <w:pPr>
        <w:spacing w:after="900"/>
      </w:pPr>
      <w:r>
        <w:rPr>
          <w:rFonts w:ascii="Segoe UI" w:cs="Segoe UI" w:eastAsia="Segoe UI" w:hAnsi="Segoe UI"/>
          <w:i/>
          <w:iCs/>
          <w:color w:val="5A6673"/>
          <w:sz w:val="18"/>
          <w:szCs w:val="18"/>
        </w:rPr>
        <w:t xml:space="preserve">See the failure before it happens.</w:t>
      </w:r>
    </w:p>
    <w:p>
      <w:r>
        <w:br w:type="page"/>
      </w:r>
    </w:p>
    <w:p>
      <w:pPr>
        <w:spacing w:after="200" w:before="240"/>
      </w:pPr>
      <w:r>
        <w:rPr>
          <w:rFonts w:ascii="Segoe UI" w:cs="Segoe UI" w:eastAsia="Segoe UI" w:hAnsi="Segoe UI"/>
          <w:b/>
          <w:bCs/>
          <w:color w:val="1B3A5C"/>
          <w:sz w:val="34"/>
          <w:szCs w:val="34"/>
        </w:rPr>
        <w:t xml:space="preserve">Meeting context</w:t>
      </w:r>
    </w:p>
    <w:p>
      <w:pPr>
        <w:spacing w:after="140" w:line="276"/>
      </w:pPr>
      <w:r>
        <w:rPr>
          <w:rFonts w:ascii="Segoe UI" w:cs="Segoe UI" w:eastAsia="Segoe UI" w:hAnsi="Segoe UI"/>
          <w:color w:val="222222"/>
          <w:sz w:val="20"/>
          <w:szCs w:val="20"/>
        </w:rPr>
        <w:t xml:space="preserve">Date: Wed 12 Aug 2026. Forum: Project Northstar August QBR. Customer attendees: Helena Vargas, Head of Infrastructure; Rajiv Menon, IT Operations Manager. Aurora attendees: Ava Nakamura, Account Executive; Priya Raman, Delivery Manager.</w:t>
      </w:r>
    </w:p>
    <w:p>
      <w:pPr>
        <w:spacing w:after="140" w:line="276"/>
      </w:pPr>
      <w:r>
        <w:rPr>
          <w:rFonts w:ascii="Segoe UI" w:cs="Segoe UI" w:eastAsia="Segoe UI" w:hAnsi="Segoe UI"/>
          <w:color w:val="222222"/>
          <w:sz w:val="20"/>
          <w:szCs w:val="20"/>
        </w:rPr>
        <w:t xml:space="preserve">The August QBR reviewed deployment progress, service performance, value evidence, and the decision path for Phase 3. Meridian Bank acknowledged that completed countries are stabilizing, but asked Aurora Dynamics to make the business value narrative more quantified and easier to reuse in executive updates.</w:t>
      </w:r>
    </w:p>
    <w:p>
      <w:pPr>
        <w:spacing w:after="140" w:before="260"/>
      </w:pPr>
      <w:r>
        <w:rPr>
          <w:rFonts w:ascii="Segoe UI" w:cs="Segoe UI" w:eastAsia="Segoe UI" w:hAnsi="Segoe UI"/>
          <w:b/>
          <w:bCs/>
          <w:color w:val="1B3A5C"/>
          <w:sz w:val="26"/>
          <w:szCs w:val="26"/>
        </w:rPr>
        <w:t xml:space="preserve">Discussion summary</w:t>
      </w:r>
    </w:p>
    <w:p>
      <w:pPr>
        <w:spacing w:after="140" w:line="276"/>
      </w:pPr>
      <w:r>
        <w:rPr>
          <w:rFonts w:ascii="Segoe UI" w:cs="Segoe UI" w:eastAsia="Segoe UI" w:hAnsi="Segoe UI"/>
          <w:color w:val="222222"/>
          <w:sz w:val="20"/>
          <w:szCs w:val="20"/>
        </w:rPr>
        <w:t xml:space="preserve">Priya Raman explained why the overall status remains Amber. The deployment factory is functioning, and nine countries have moved into handover, but Italy regulatory approval could still affect the final sequence. Rajiv Menon asked that acceptance evidence be made more consistent so local operations teams can use it without reinterpretation.</w:t>
      </w:r>
    </w:p>
    <w:p>
      <w:pPr>
        <w:spacing w:after="140" w:line="276"/>
      </w:pPr>
      <w:r>
        <w:rPr>
          <w:rFonts w:ascii="Segoe UI" w:cs="Segoe UI" w:eastAsia="Segoe UI" w:hAnsi="Segoe UI"/>
          <w:color w:val="222222"/>
          <w:sz w:val="20"/>
          <w:szCs w:val="20"/>
        </w:rPr>
        <w:t xml:space="preserve">Helena Vargas asked for a stronger connection between the operational rollout and financial value. Ava Nakamura agreed that the next pack should quantify downtime avoidance in EUR, using clear assumptions that Meridian Bank can approve or challenge. The team agreed not to issue a separate commercial note; the item belongs in the next governance pack.</w:t>
      </w:r>
    </w:p>
    <w:p>
      <w:pPr>
        <w:spacing w:after="140" w:before="260"/>
      </w:pPr>
      <w:r>
        <w:rPr>
          <w:rFonts w:ascii="Segoe UI" w:cs="Segoe UI" w:eastAsia="Segoe UI" w:hAnsi="Segoe UI"/>
          <w:b/>
          <w:bCs/>
          <w:color w:val="1B3A5C"/>
          <w:sz w:val="26"/>
          <w:szCs w:val="26"/>
        </w:rPr>
        <w:t xml:space="preserve">Decisions</w:t>
      </w:r>
    </w:p>
    <w:tbl>
      <w:tblPr>
        <w:tblW w:type="pct" w:w="100%"/>
        <w:tblBorders>
          <w:top w:val="single" w:color="C9D3DD" w:sz="2"/>
          <w:left w:val="none"/>
          <w:bottom w:val="single" w:color="C9D3DD" w:sz="2"/>
          <w:right w:val="none"/>
          <w:insideH w:val="single" w:color="DDE4EA" w:sz="1"/>
          <w:insideV w:val="none"/>
        </w:tblBorders>
      </w:tblPr>
      <w:tblGrid>
        <w:gridCol w:w="100"/>
        <w:gridCol w:w="100"/>
        <w:gridCol w:w="100"/>
        <w:gridCol w:w="100"/>
      </w:tblGrid>
      <w:tr>
        <w:trPr>
          <w:tblHeader/>
        </w:trPr>
        <w:tc>
          <w:tcPr>
            <w:shd w:fill="1B3A5C" w:val="clear"/>
            <w:tcMar>
              <w:top w:type="dxa" w:w="90"/>
              <w:left w:type="dxa" w:w="120"/>
              <w:bottom w:type="dxa" w:w="90"/>
              <w:right w:type="dxa" w:w="120"/>
            </w:tcMar>
          </w:tcPr>
          <w:p>
            <w:pPr>
              <w:spacing w:after="0"/>
              <w:jc w:val="left"/>
            </w:pPr>
            <w:r>
              <w:rPr>
                <w:rFonts w:ascii="Segoe UI" w:cs="Segoe UI" w:eastAsia="Segoe UI" w:hAnsi="Segoe UI"/>
                <w:b/>
                <w:bCs/>
                <w:color w:val="FFFFFF"/>
                <w:sz w:val="18"/>
                <w:szCs w:val="18"/>
              </w:rPr>
              <w:t xml:space="preserve">#</w:t>
            </w:r>
          </w:p>
        </w:tc>
        <w:tc>
          <w:tcPr>
            <w:shd w:fill="1B3A5C" w:val="clear"/>
            <w:tcMar>
              <w:top w:type="dxa" w:w="90"/>
              <w:left w:type="dxa" w:w="120"/>
              <w:bottom w:type="dxa" w:w="90"/>
              <w:right w:type="dxa" w:w="120"/>
            </w:tcMar>
          </w:tcPr>
          <w:p>
            <w:pPr>
              <w:spacing w:after="0"/>
              <w:jc w:val="left"/>
            </w:pPr>
            <w:r>
              <w:rPr>
                <w:rFonts w:ascii="Segoe UI" w:cs="Segoe UI" w:eastAsia="Segoe UI" w:hAnsi="Segoe UI"/>
                <w:b/>
                <w:bCs/>
                <w:color w:val="FFFFFF"/>
                <w:sz w:val="18"/>
                <w:szCs w:val="18"/>
              </w:rPr>
              <w:t xml:space="preserve">Decision</w:t>
            </w:r>
          </w:p>
        </w:tc>
        <w:tc>
          <w:tcPr>
            <w:shd w:fill="1B3A5C" w:val="clear"/>
            <w:tcMar>
              <w:top w:type="dxa" w:w="90"/>
              <w:left w:type="dxa" w:w="120"/>
              <w:bottom w:type="dxa" w:w="90"/>
              <w:right w:type="dxa" w:w="120"/>
            </w:tcMar>
          </w:tcPr>
          <w:p>
            <w:pPr>
              <w:spacing w:after="0"/>
              <w:jc w:val="left"/>
            </w:pPr>
            <w:r>
              <w:rPr>
                <w:rFonts w:ascii="Segoe UI" w:cs="Segoe UI" w:eastAsia="Segoe UI" w:hAnsi="Segoe UI"/>
                <w:b/>
                <w:bCs/>
                <w:color w:val="FFFFFF"/>
                <w:sz w:val="18"/>
                <w:szCs w:val="18"/>
              </w:rPr>
              <w:t xml:space="preserve">Owner</w:t>
            </w:r>
          </w:p>
        </w:tc>
        <w:tc>
          <w:tcPr>
            <w:shd w:fill="1B3A5C" w:val="clear"/>
            <w:tcMar>
              <w:top w:type="dxa" w:w="90"/>
              <w:left w:type="dxa" w:w="120"/>
              <w:bottom w:type="dxa" w:w="90"/>
              <w:right w:type="dxa" w:w="120"/>
            </w:tcMar>
          </w:tcPr>
          <w:p>
            <w:pPr>
              <w:spacing w:after="0"/>
              <w:jc w:val="left"/>
            </w:pPr>
            <w:r>
              <w:rPr>
                <w:rFonts w:ascii="Segoe UI" w:cs="Segoe UI" w:eastAsia="Segoe UI" w:hAnsi="Segoe UI"/>
                <w:b/>
                <w:bCs/>
                <w:color w:val="FFFFFF"/>
                <w:sz w:val="18"/>
                <w:szCs w:val="18"/>
              </w:rPr>
              <w:t xml:space="preserve">Date</w:t>
            </w:r>
          </w:p>
        </w:tc>
      </w:tr>
      <w:tr>
        <w:tc>
          <w:tcP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1</w:t>
            </w:r>
          </w:p>
        </w:tc>
        <w:tc>
          <w:tcP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Use sequential planning as the fallback for Phase 3 if Italy approval is not confirmed by the next governance checkpoint.</w:t>
            </w:r>
          </w:p>
        </w:tc>
        <w:tc>
          <w:tcP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Helena Vargas</w:t>
            </w:r>
          </w:p>
        </w:tc>
        <w:tc>
          <w:tcP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12 Aug 2026</w:t>
            </w:r>
          </w:p>
        </w:tc>
      </w:tr>
      <w:tr>
        <w:tc>
          <w:tcPr>
            <w:shd w:fill="EDF1F5" w:val="clea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2</w:t>
            </w:r>
          </w:p>
        </w:tc>
        <w:tc>
          <w:tcPr>
            <w:shd w:fill="EDF1F5" w:val="clea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Keep the customer-facing status at Amber while mitigation owners and dates remain credible.</w:t>
            </w:r>
          </w:p>
        </w:tc>
        <w:tc>
          <w:tcPr>
            <w:shd w:fill="EDF1F5" w:val="clea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Priya Raman</w:t>
            </w:r>
          </w:p>
        </w:tc>
        <w:tc>
          <w:tcPr>
            <w:shd w:fill="EDF1F5" w:val="clea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12 Aug 2026</w:t>
            </w:r>
          </w:p>
        </w:tc>
      </w:tr>
      <w:tr>
        <w:tc>
          <w:tcP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3</w:t>
            </w:r>
          </w:p>
        </w:tc>
        <w:tc>
          <w:tcP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Move financial-value evidence into the September steering pack rather than issuing a separate note.</w:t>
            </w:r>
          </w:p>
        </w:tc>
        <w:tc>
          <w:tcP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Ava Nakamura</w:t>
            </w:r>
          </w:p>
        </w:tc>
        <w:tc>
          <w:tcP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12 Aug 2026</w:t>
            </w:r>
          </w:p>
        </w:tc>
      </w:tr>
    </w:tbl>
    <w:p>
      <w:pPr>
        <w:spacing w:after="140" w:before="260"/>
      </w:pPr>
      <w:r>
        <w:rPr>
          <w:rFonts w:ascii="Segoe UI" w:cs="Segoe UI" w:eastAsia="Segoe UI" w:hAnsi="Segoe UI"/>
          <w:b/>
          <w:bCs/>
          <w:color w:val="1B3A5C"/>
          <w:sz w:val="26"/>
          <w:szCs w:val="26"/>
        </w:rPr>
        <w:t xml:space="preserve">Open actions</w:t>
      </w:r>
    </w:p>
    <w:tbl>
      <w:tblPr>
        <w:tblW w:type="pct" w:w="100%"/>
        <w:tblBorders>
          <w:top w:val="single" w:color="C9D3DD" w:sz="2"/>
          <w:left w:val="none"/>
          <w:bottom w:val="single" w:color="C9D3DD" w:sz="2"/>
          <w:right w:val="none"/>
          <w:insideH w:val="single" w:color="DDE4EA" w:sz="1"/>
          <w:insideV w:val="none"/>
        </w:tblBorders>
      </w:tblPr>
      <w:tblGrid>
        <w:gridCol w:w="100"/>
        <w:gridCol w:w="100"/>
        <w:gridCol w:w="100"/>
        <w:gridCol w:w="100"/>
        <w:gridCol w:w="100"/>
      </w:tblGrid>
      <w:tr>
        <w:trPr>
          <w:tblHeader/>
        </w:trPr>
        <w:tc>
          <w:tcPr>
            <w:shd w:fill="1B3A5C" w:val="clear"/>
            <w:tcMar>
              <w:top w:type="dxa" w:w="90"/>
              <w:left w:type="dxa" w:w="120"/>
              <w:bottom w:type="dxa" w:w="90"/>
              <w:right w:type="dxa" w:w="120"/>
            </w:tcMar>
          </w:tcPr>
          <w:p>
            <w:pPr>
              <w:spacing w:after="0"/>
              <w:jc w:val="left"/>
            </w:pPr>
            <w:r>
              <w:rPr>
                <w:rFonts w:ascii="Segoe UI" w:cs="Segoe UI" w:eastAsia="Segoe UI" w:hAnsi="Segoe UI"/>
                <w:b/>
                <w:bCs/>
                <w:color w:val="FFFFFF"/>
                <w:sz w:val="18"/>
                <w:szCs w:val="18"/>
              </w:rPr>
              <w:t xml:space="preserve">ID</w:t>
            </w:r>
          </w:p>
        </w:tc>
        <w:tc>
          <w:tcPr>
            <w:shd w:fill="1B3A5C" w:val="clear"/>
            <w:tcMar>
              <w:top w:type="dxa" w:w="90"/>
              <w:left w:type="dxa" w:w="120"/>
              <w:bottom w:type="dxa" w:w="90"/>
              <w:right w:type="dxa" w:w="120"/>
            </w:tcMar>
          </w:tcPr>
          <w:p>
            <w:pPr>
              <w:spacing w:after="0"/>
              <w:jc w:val="left"/>
            </w:pPr>
            <w:r>
              <w:rPr>
                <w:rFonts w:ascii="Segoe UI" w:cs="Segoe UI" w:eastAsia="Segoe UI" w:hAnsi="Segoe UI"/>
                <w:b/>
                <w:bCs/>
                <w:color w:val="FFFFFF"/>
                <w:sz w:val="18"/>
                <w:szCs w:val="18"/>
              </w:rPr>
              <w:t xml:space="preserve">Action</w:t>
            </w:r>
          </w:p>
        </w:tc>
        <w:tc>
          <w:tcPr>
            <w:shd w:fill="1B3A5C" w:val="clear"/>
            <w:tcMar>
              <w:top w:type="dxa" w:w="90"/>
              <w:left w:type="dxa" w:w="120"/>
              <w:bottom w:type="dxa" w:w="90"/>
              <w:right w:type="dxa" w:w="120"/>
            </w:tcMar>
          </w:tcPr>
          <w:p>
            <w:pPr>
              <w:spacing w:after="0"/>
              <w:jc w:val="left"/>
            </w:pPr>
            <w:r>
              <w:rPr>
                <w:rFonts w:ascii="Segoe UI" w:cs="Segoe UI" w:eastAsia="Segoe UI" w:hAnsi="Segoe UI"/>
                <w:b/>
                <w:bCs/>
                <w:color w:val="FFFFFF"/>
                <w:sz w:val="18"/>
                <w:szCs w:val="18"/>
              </w:rPr>
              <w:t xml:space="preserve">Owner</w:t>
            </w:r>
          </w:p>
        </w:tc>
        <w:tc>
          <w:tcPr>
            <w:shd w:fill="1B3A5C" w:val="clear"/>
            <w:tcMar>
              <w:top w:type="dxa" w:w="90"/>
              <w:left w:type="dxa" w:w="120"/>
              <w:bottom w:type="dxa" w:w="90"/>
              <w:right w:type="dxa" w:w="120"/>
            </w:tcMar>
          </w:tcPr>
          <w:p>
            <w:pPr>
              <w:spacing w:after="0"/>
              <w:jc w:val="left"/>
            </w:pPr>
            <w:r>
              <w:rPr>
                <w:rFonts w:ascii="Segoe UI" w:cs="Segoe UI" w:eastAsia="Segoe UI" w:hAnsi="Segoe UI"/>
                <w:b/>
                <w:bCs/>
                <w:color w:val="FFFFFF"/>
                <w:sz w:val="18"/>
                <w:szCs w:val="18"/>
              </w:rPr>
              <w:t xml:space="preserve">Due date</w:t>
            </w:r>
          </w:p>
        </w:tc>
        <w:tc>
          <w:tcPr>
            <w:shd w:fill="1B3A5C" w:val="clear"/>
            <w:tcMar>
              <w:top w:type="dxa" w:w="90"/>
              <w:left w:type="dxa" w:w="120"/>
              <w:bottom w:type="dxa" w:w="90"/>
              <w:right w:type="dxa" w:w="120"/>
            </w:tcMar>
          </w:tcPr>
          <w:p>
            <w:pPr>
              <w:spacing w:after="0"/>
              <w:jc w:val="left"/>
            </w:pPr>
            <w:r>
              <w:rPr>
                <w:rFonts w:ascii="Segoe UI" w:cs="Segoe UI" w:eastAsia="Segoe UI" w:hAnsi="Segoe UI"/>
                <w:b/>
                <w:bCs/>
                <w:color w:val="FFFFFF"/>
                <w:sz w:val="18"/>
                <w:szCs w:val="18"/>
              </w:rPr>
              <w:t xml:space="preserve">Status</w:t>
            </w:r>
          </w:p>
        </w:tc>
      </w:tr>
      <w:tr>
        <w:tc>
          <w:tcP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A-01</w:t>
            </w:r>
          </w:p>
        </w:tc>
        <w:tc>
          <w:tcP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Customer requested quantified downtime avoidance in EUR — Aurora to revert</w:t>
            </w:r>
          </w:p>
        </w:tc>
        <w:tc>
          <w:tcP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Ava Nakamura</w:t>
            </w:r>
          </w:p>
        </w:tc>
        <w:tc>
          <w:tcP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26 Aug 2026</w:t>
            </w:r>
          </w:p>
        </w:tc>
        <w:tc>
          <w:tcP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Open / overdue</w:t>
            </w:r>
          </w:p>
        </w:tc>
      </w:tr>
      <w:tr>
        <w:tc>
          <w:tcPr>
            <w:shd w:fill="EDF1F5" w:val="clea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A-02</w:t>
            </w:r>
          </w:p>
        </w:tc>
        <w:tc>
          <w:tcPr>
            <w:shd w:fill="EDF1F5" w:val="clea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Provide sample acceptance evidence pack for completed countries.</w:t>
            </w:r>
          </w:p>
        </w:tc>
        <w:tc>
          <w:tcPr>
            <w:shd w:fill="EDF1F5" w:val="clea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Priya Raman</w:t>
            </w:r>
          </w:p>
        </w:tc>
        <w:tc>
          <w:tcPr>
            <w:shd w:fill="EDF1F5" w:val="clea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19 Aug 2026</w:t>
            </w:r>
          </w:p>
        </w:tc>
        <w:tc>
          <w:tcPr>
            <w:shd w:fill="EDF1F5" w:val="clea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Open</w:t>
            </w:r>
          </w:p>
        </w:tc>
      </w:tr>
      <w:tr>
        <w:tc>
          <w:tcP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A-03</w:t>
            </w:r>
          </w:p>
        </w:tc>
        <w:tc>
          <w:tcP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Confirm operations reporting owner for the remaining rollout countries.</w:t>
            </w:r>
          </w:p>
        </w:tc>
        <w:tc>
          <w:tcP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Rajiv Menon</w:t>
            </w:r>
          </w:p>
        </w:tc>
        <w:tc>
          <w:tcP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21 Aug 2026</w:t>
            </w:r>
          </w:p>
        </w:tc>
        <w:tc>
          <w:tcP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Open</w:t>
            </w:r>
          </w:p>
        </w:tc>
      </w:tr>
      <w:tr>
        <w:tc>
          <w:tcPr>
            <w:shd w:fill="EDF1F5" w:val="clea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A-04</w:t>
            </w:r>
          </w:p>
        </w:tc>
        <w:tc>
          <w:tcPr>
            <w:shd w:fill="EDF1F5" w:val="clea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Validate Italy approval evidence list and escalation route.</w:t>
            </w:r>
          </w:p>
        </w:tc>
        <w:tc>
          <w:tcPr>
            <w:shd w:fill="EDF1F5" w:val="clea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Priya Raman</w:t>
            </w:r>
          </w:p>
        </w:tc>
        <w:tc>
          <w:tcPr>
            <w:shd w:fill="EDF1F5" w:val="clea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28 Aug 2026</w:t>
            </w:r>
          </w:p>
        </w:tc>
        <w:tc>
          <w:tcPr>
            <w:shd w:fill="EDF1F5" w:val="clea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Open</w:t>
            </w:r>
          </w:p>
        </w:tc>
      </w:tr>
      <w:tr>
        <w:tc>
          <w:tcP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A-05</w:t>
            </w:r>
          </w:p>
        </w:tc>
        <w:tc>
          <w:tcP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Share proposed September QBR agenda and customer asks.</w:t>
            </w:r>
          </w:p>
        </w:tc>
        <w:tc>
          <w:tcP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Ava Nakamura</w:t>
            </w:r>
          </w:p>
        </w:tc>
        <w:tc>
          <w:tcP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2 Sep 2026</w:t>
            </w:r>
          </w:p>
        </w:tc>
        <w:tc>
          <w:tcPr>
            <w:tcMar>
              <w:top w:type="dxa" w:w="90"/>
              <w:left w:type="dxa" w:w="120"/>
              <w:bottom w:type="dxa" w:w="90"/>
              <w:right w:type="dxa" w:w="120"/>
            </w:tcMar>
          </w:tcPr>
          <w:p>
            <w:pPr>
              <w:spacing w:after="0"/>
              <w:jc w:val="left"/>
            </w:pPr>
            <w:r>
              <w:rPr>
                <w:rFonts w:ascii="Segoe UI" w:cs="Segoe UI" w:eastAsia="Segoe UI" w:hAnsi="Segoe UI"/>
                <w:b w:val="false"/>
                <w:bCs w:val="false"/>
                <w:color w:val="222222"/>
                <w:sz w:val="18"/>
                <w:szCs w:val="18"/>
              </w:rPr>
              <w:t xml:space="preserve">Open</w:t>
            </w:r>
          </w:p>
        </w:tc>
      </w:tr>
    </w:tbl>
    <w:p>
      <w:pPr>
        <w:spacing w:after="140" w:before="260"/>
      </w:pPr>
      <w:r>
        <w:rPr>
          <w:rFonts w:ascii="Segoe UI" w:cs="Segoe UI" w:eastAsia="Segoe UI" w:hAnsi="Segoe UI"/>
          <w:b/>
          <w:bCs/>
          <w:color w:val="1B3A5C"/>
          <w:sz w:val="26"/>
          <w:szCs w:val="26"/>
        </w:rPr>
        <w:t xml:space="preserve">Follow-up tone</w:t>
      </w:r>
    </w:p>
    <w:p>
      <w:pPr>
        <w:spacing w:after="140" w:line="276"/>
      </w:pPr>
      <w:r>
        <w:rPr>
          <w:rFonts w:ascii="Segoe UI" w:cs="Segoe UI" w:eastAsia="Segoe UI" w:hAnsi="Segoe UI"/>
          <w:color w:val="222222"/>
          <w:sz w:val="20"/>
          <w:szCs w:val="20"/>
        </w:rPr>
        <w:t xml:space="preserve">The customer tone was supportive but specific. Helena Vargas wants executive-ready value evidence, while Rajiv Menon wants operating controls that his team can sustain. Follow-up should therefore be concise, quantified, and grounded in the same deployment numbers used in the weekly status report.</w:t>
      </w:r>
    </w:p>
    <w:p>
      <w:pPr>
        <w:spacing w:after="140" w:line="276"/>
      </w:pPr>
      <w:r>
        <w:rPr>
          <w:rFonts w:ascii="Segoe UI" w:cs="Segoe UI" w:eastAsia="Segoe UI" w:hAnsi="Segoe UI"/>
          <w:color w:val="222222"/>
          <w:sz w:val="20"/>
          <w:szCs w:val="20"/>
        </w:rPr>
        <w:t xml:space="preserve">No attendee requested a change to contracted scope. The open concern is sequencing risk, not solution fit. Priya Raman will continue to anchor the action review until the Italy approval path is clear and the reporting evidence pack is accepted.</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Segoe UI" w:cs="Segoe UI" w:eastAsia="Segoe UI" w:hAnsi="Segoe UI"/>
        <w:color w:val="5A6673"/>
        <w:sz w:val="16"/>
        <w:szCs w:val="16"/>
      </w:rPr>
      <w:t xml:space="preserve">Page </w:t>
    </w:r>
    <w:r>
      <w:rPr>
        <w:rFonts w:ascii="Segoe UI" w:cs="Segoe UI" w:eastAsia="Segoe UI" w:hAnsi="Segoe UI"/>
        <w:color w:val="5A667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0"/>
      </w:tabs>
      <w:spacing w:after="200"/>
    </w:pPr>
    <w:r>
      <w:rPr>
        <w:rFonts w:ascii="Segoe UI" w:cs="Segoe UI" w:eastAsia="Segoe UI" w:hAnsi="Segoe UI"/>
        <w:color w:val="5A6673"/>
        <w:sz w:val="16"/>
        <w:szCs w:val="16"/>
      </w:rPr>
      <w:t xml:space="preserve">Project Northstar August QBR Meeting Notes</w:t>
    </w:r>
    <w:r>
      <w:rPr>
        <w:rFonts w:ascii="Segoe UI" w:cs="Segoe UI" w:eastAsia="Segoe UI" w:hAnsi="Segoe UI"/>
      </w:rPr>
      <w:t xml:space="preserve">	</w:t>
    </w:r>
    <w:r>
      <w:rPr>
        <w:rFonts w:ascii="Segoe UI" w:cs="Segoe UI" w:eastAsia="Segoe UI" w:hAnsi="Segoe UI"/>
        <w:color w:val="5A6673"/>
        <w:sz w:val="16"/>
        <w:szCs w:val="16"/>
      </w:rPr>
      <w:t xml:space="preserve">Aurora Dynamics — Customer meeting record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Metadata/LabelInfo.xml><?xml version="1.0" encoding="utf-8"?>
<clbl:labelList xmlns:clbl="http://schemas.microsoft.com/office/2020/mipLabelMetadata">
  <clbl:label id="{87ba5c36-b7cf-4793-bbc2-bd5b3a9f95ca}"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Northstar August QBR Meeting Notes</dc:title>
  <dc:creator>Aurora Dynamics</dc:creator>
  <dc:description>Meridian Bank and Aurora Dynamics — Wed 12 Aug 2026</dc:description>
  <cp:lastModifiedBy>Un-named</cp:lastModifiedBy>
  <cp:revision>1</cp:revision>
  <dcterms:created xsi:type="dcterms:W3CDTF">2026-09-05T03:15:12.368Z</dcterms:created>
  <dcterms:modified xsi:type="dcterms:W3CDTF">2026-09-05T03:15:12.368Z</dcterms:modified>
</cp:coreProperties>
</file>

<file path=docProps/custom.xml><?xml version="1.0" encoding="utf-8"?>
<Properties xmlns="http://schemas.openxmlformats.org/officeDocument/2006/custom-properties" xmlns:vt="http://schemas.openxmlformats.org/officeDocument/2006/docPropsVTypes"/>
</file>