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Segoe UI" w:cs="Segoe UI" w:eastAsia="Segoe UI" w:hAnsi="Segoe UI"/>
          <w:b/>
          <w:bCs/>
          <w:color w:val="F2A900"/>
          <w:spacing w:val="60"/>
          <w:sz w:val="18"/>
          <w:szCs w:val="18"/>
        </w:rPr>
        <w:t xml:space="preserve">AURORA DYNAMICS</w:t>
      </w:r>
    </w:p>
    <w:p>
      <w:pPr>
        <w:spacing w:after="80"/>
      </w:pPr>
      <w:r>
        <w:rPr>
          <w:rFonts w:ascii="Segoe UI" w:cs="Segoe UI" w:eastAsia="Segoe UI" w:hAnsi="Segoe UI"/>
          <w:b/>
          <w:bCs/>
          <w:color w:val="1B3A5C"/>
          <w:sz w:val="46"/>
          <w:szCs w:val="46"/>
        </w:rPr>
        <w:t xml:space="preserve">NS Status Report W-1</w:t>
      </w:r>
    </w:p>
    <w:p>
      <w:pPr>
        <w:spacing w:after="320"/>
      </w:pPr>
      <w:r>
        <w:rPr>
          <w:rFonts w:ascii="Segoe UI" w:cs="Segoe UI" w:eastAsia="Segoe UI" w:hAnsi="Segoe UI"/>
          <w:color w:val="5A6673"/>
          <w:sz w:val="24"/>
          <w:szCs w:val="24"/>
        </w:rPr>
        <w:t xml:space="preserve">Project Northstar — Mon 31 Aug to Sun 6 Sep 2026; issued Mon 7 Sep 2026</w:t>
      </w:r>
    </w:p>
    <w:p>
      <w:pPr>
        <w:spacing w:after="900"/>
      </w:pPr>
      <w:r>
        <w:rPr>
          <w:rFonts w:ascii="Segoe UI" w:cs="Segoe UI" w:eastAsia="Segoe UI" w:hAnsi="Segoe UI"/>
          <w:i/>
          <w:iCs/>
          <w:color w:val="5A6673"/>
          <w:sz w:val="18"/>
          <w:szCs w:val="18"/>
        </w:rPr>
        <w:t xml:space="preserve">See the failure before it happens.</w:t>
      </w:r>
    </w:p>
    <w:p>
      <w:r>
        <w:br w:type="page"/>
      </w:r>
    </w:p>
    <w:p>
      <w:pPr>
        <w:spacing w:after="200" w:before="240"/>
      </w:pPr>
      <w:r>
        <w:rPr>
          <w:rFonts w:ascii="Segoe UI" w:cs="Segoe UI" w:eastAsia="Segoe UI" w:hAnsi="Segoe UI"/>
          <w:b/>
          <w:bCs/>
          <w:color w:val="1B3A5C"/>
          <w:sz w:val="34"/>
          <w:szCs w:val="34"/>
        </w:rPr>
        <w:t xml:space="preserve">Weekly status report</w:t>
      </w:r>
    </w:p>
    <w:tbl>
      <w:tblPr>
        <w:tblW w:type="pct" w:w="100%"/>
        <w:tblBorders>
          <w:top w:val="none"/>
          <w:left w:val="single" w:color="F2A900" w:sz="18"/>
          <w:bottom w:val="none"/>
          <w:right w:val="none"/>
          <w:insideH w:val="none"/>
          <w:insideV w:val="none"/>
        </w:tblBorders>
      </w:tblPr>
      <w:tblGrid>
        <w:gridCol w:w="100"/>
      </w:tblGrid>
      <w:tr>
        <w:tc>
          <w:tcPr>
            <w:shd w:fill="FDF6E6" w:val="clear"/>
            <w:tcMar>
              <w:top w:type="dxa" w:w="140"/>
              <w:left w:type="dxa" w:w="180"/>
              <w:bottom w:type="dxa" w:w="140"/>
              <w:right w:type="dxa" w:w="160"/>
            </w:tcMar>
          </w:tcPr>
          <w:p>
            <w:pPr>
              <w:spacing w:after="0"/>
            </w:pPr>
            <w:r>
              <w:rPr>
                <w:rFonts w:ascii="Segoe UI" w:cs="Segoe UI" w:eastAsia="Segoe UI" w:hAnsi="Segoe UI"/>
                <w:color w:val="4A3B14"/>
                <w:sz w:val="19"/>
                <w:szCs w:val="19"/>
              </w:rPr>
              <w:t xml:space="preserve">Executive headline: Project Northstar remains Amber. Delivery momentum is visible in the completed estate, but the remaining path depends on closing the Italy regulatory approval dependency and normalizing evidence for the remaining country groups.</w:t>
            </w:r>
          </w:p>
        </w:tc>
      </w:tr>
    </w:tbl>
    <w:p>
      <w:pPr>
        <w:spacing w:after="140" w:before="260"/>
      </w:pPr>
      <w:r>
        <w:rPr>
          <w:rFonts w:ascii="Segoe UI" w:cs="Segoe UI" w:eastAsia="Segoe UI" w:hAnsi="Segoe UI"/>
          <w:b/>
          <w:bCs/>
          <w:color w:val="1B3A5C"/>
          <w:sz w:val="26"/>
          <w:szCs w:val="26"/>
        </w:rPr>
        <w:t xml:space="preserve">Executive summary</w:t>
      </w:r>
    </w:p>
    <w:p>
      <w:pPr>
        <w:spacing w:after="140" w:line="276"/>
      </w:pPr>
      <w:r>
        <w:rPr>
          <w:rFonts w:ascii="Segoe UI" w:cs="Segoe UI" w:eastAsia="Segoe UI" w:hAnsi="Segoe UI"/>
          <w:color w:val="222222"/>
          <w:sz w:val="20"/>
          <w:szCs w:val="20"/>
        </w:rPr>
        <w:t xml:space="preserve">Project Northstar has reached 1,870 deployed assets out of the contracted 3,200-asset scope, which is 58% complete. Nine of fourteen countries have completed deployment and are operating under the agreed handover model. The completed estate is stable enough for Meridian Bank operations teams to use the runbook without routine Aurora-led intervention, which is the clearest sign that the deployment model is maturing.</w:t>
      </w:r>
    </w:p>
    <w:p>
      <w:pPr>
        <w:spacing w:after="140" w:line="276"/>
      </w:pPr>
      <w:r>
        <w:rPr>
          <w:rFonts w:ascii="Segoe UI" w:cs="Segoe UI" w:eastAsia="Segoe UI" w:hAnsi="Segoe UI"/>
          <w:color w:val="222222"/>
          <w:sz w:val="20"/>
          <w:szCs w:val="20"/>
        </w:rPr>
        <w:t xml:space="preserve">Availability quarter to date: 99.82%. The figure is included as a delivery-management indicator for the Northstar environment and will continue to be reported in the weekly status pack. During the W-1 reporting week there were no lost alerts and no newly opened severity-one customer escalation.</w:t>
      </w:r>
    </w:p>
    <w:p>
      <w:pPr>
        <w:spacing w:after="140" w:line="276"/>
      </w:pPr>
      <w:r>
        <w:rPr>
          <w:rFonts w:ascii="Segoe UI" w:cs="Segoe UI" w:eastAsia="Segoe UI" w:hAnsi="Segoe UI"/>
          <w:color w:val="222222"/>
          <w:sz w:val="20"/>
          <w:szCs w:val="20"/>
        </w:rPr>
        <w:t xml:space="preserve">The overall RAG remains Amber because the work is progressing but the schedule has less float than planned. Italy regulatory approval is unresolved, and inconsistent acceptance evidence across the remaining countries could slow sign-off. Priya Raman is holding the status at Amber rather than Red because mitigations, owners, and decision dates are clear.</w:t>
      </w:r>
    </w:p>
    <w:p>
      <w:pPr>
        <w:spacing w:after="140" w:line="276"/>
      </w:pPr>
      <w:r>
        <w:rPr>
          <w:rFonts w:ascii="Segoe UI" w:cs="Segoe UI" w:eastAsia="Segoe UI" w:hAnsi="Segoe UI"/>
          <w:color w:val="222222"/>
          <w:sz w:val="20"/>
          <w:szCs w:val="20"/>
        </w:rPr>
        <w:t xml:space="preserve">Firmware adoption continues to move toward the standard branch. Version 3.6.0 is active on 1,230 assets, while 640 assets remain on 3.4.2. The remaining 3.4.2 group is tied to local access windows and is not a separate technical blocker.</w:t>
      </w:r>
    </w:p>
    <w:p>
      <w:pPr>
        <w:spacing w:after="140" w:before="260"/>
      </w:pPr>
      <w:r>
        <w:rPr>
          <w:rFonts w:ascii="Segoe UI" w:cs="Segoe UI" w:eastAsia="Segoe UI" w:hAnsi="Segoe UI"/>
          <w:b/>
          <w:bCs/>
          <w:color w:val="1B3A5C"/>
          <w:sz w:val="26"/>
          <w:szCs w:val="26"/>
        </w:rPr>
        <w:t xml:space="preserve">Progress by country</w:t>
      </w:r>
    </w:p>
    <w:p>
      <w:pPr>
        <w:spacing w:after="140" w:line="276"/>
      </w:pPr>
      <w:r>
        <w:rPr>
          <w:rFonts w:ascii="Segoe UI" w:cs="Segoe UI" w:eastAsia="Segoe UI" w:hAnsi="Segoe UI"/>
          <w:color w:val="222222"/>
          <w:sz w:val="20"/>
          <w:szCs w:val="20"/>
        </w:rPr>
        <w:t xml:space="preserve">The table reconciles the fourteen-country plan against actual deployed assets. Country labels are operational labels used for the delivery pack; Italy is shown explicitly because it is the active regulatory blocker.</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Country</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Planned</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Actual</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Status</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Blocker</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01</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250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250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02</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220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220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03</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200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200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04</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190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190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05</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180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180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170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170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07</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160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160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08</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155</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155</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09</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145</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145</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None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Italy</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520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Blocked</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Regulatory approval pending</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11</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340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90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In progress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Local maintenance window sequencing</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12</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280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60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In progress</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Site access batching</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13</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220</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35</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In progress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Firmware staging queue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Country 14</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170</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15</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At risk</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Data validation exceptions</w:t>
            </w:r>
          </w:p>
        </w:tc>
      </w:tr>
    </w:tbl>
    <w:p>
      <w:pPr>
        <w:spacing w:after="140" w:line="276"/>
      </w:pPr>
      <w:r>
        <w:rPr>
          <w:rFonts w:ascii="Segoe UI" w:cs="Segoe UI" w:eastAsia="Segoe UI" w:hAnsi="Segoe UI"/>
          <w:color w:val="222222"/>
          <w:sz w:val="20"/>
          <w:szCs w:val="20"/>
        </w:rPr>
        <w:t xml:space="preserve">Completed countries have passed telemetry validation, alert routing, acceptance evidence review, and operations handover. The open countries are being managed through a tighter weekly cutover rhythm so that site access, firmware staging, and reporting evidence do not compete for the same customer reviewers.</w:t>
      </w:r>
    </w:p>
    <w:p>
      <w:pPr>
        <w:spacing w:after="140" w:before="260"/>
      </w:pPr>
      <w:r>
        <w:rPr>
          <w:rFonts w:ascii="Segoe UI" w:cs="Segoe UI" w:eastAsia="Segoe UI" w:hAnsi="Segoe UI"/>
          <w:b/>
          <w:bCs/>
          <w:color w:val="1B3A5C"/>
          <w:sz w:val="26"/>
          <w:szCs w:val="26"/>
        </w:rPr>
        <w:t xml:space="preserve">Milestones</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Milestone</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Target</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Status</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Management note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Wave 2 closeout</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28 Aug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Nine countries accepted into steady-state operation.</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W-1 progress checkpoint</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7 Sep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Complete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Actual deployment reconciled at 1,870 assets.</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Italy approval decision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11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At risk</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External decision remains the critical path.</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Phase 3 sequencing decision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15 Sep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Planned</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Sequential fallback remains the recommended mitigation.</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Customer steering update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18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Planned</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Pack will include progress, risk movement, and customer asks.</w:t>
            </w:r>
          </w:p>
        </w:tc>
      </w:tr>
    </w:tbl>
    <w:p>
      <w:pPr>
        <w:spacing w:after="140" w:before="260"/>
      </w:pPr>
      <w:r>
        <w:rPr>
          <w:rFonts w:ascii="Segoe UI" w:cs="Segoe UI" w:eastAsia="Segoe UI" w:hAnsi="Segoe UI"/>
          <w:b/>
          <w:bCs/>
          <w:color w:val="1B3A5C"/>
          <w:sz w:val="26"/>
          <w:szCs w:val="26"/>
        </w:rPr>
        <w:t xml:space="preserve">Risks</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ID</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RAG</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Risk</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Impact</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Owner</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Next control</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R-03</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Red</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Italy regulatory approval remains unresolved.</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Late approval can force resequencing and compress acceptance.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Escalate evidence pack for 11 Sep review.</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R-07</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Red</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Acceptance and reporting evidence is inconsistent across remaining countries.</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Customer may delay formal sign-off if evidence packs differ.</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Rajiv Menon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Approve one evidence template by 10 Sep.</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R-09</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Amber</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Firmware 3.4.2 population remains active in constrained sites.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Upgrade work may extend local support effort.</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Fold upgrades into agreed maintenance windows.</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R-11</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Amber</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Data validation exceptions in Country 14 may slow cutover.</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Potential rework in mapping and acceptance testing.</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Aurora delivery team</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Daily exception review until stable.</w:t>
            </w:r>
          </w:p>
        </w:tc>
      </w:tr>
    </w:tbl>
    <w:p>
      <w:pPr>
        <w:spacing w:after="140" w:before="260"/>
      </w:pPr>
      <w:r>
        <w:rPr>
          <w:rFonts w:ascii="Segoe UI" w:cs="Segoe UI" w:eastAsia="Segoe UI" w:hAnsi="Segoe UI"/>
          <w:b/>
          <w:bCs/>
          <w:color w:val="1B3A5C"/>
          <w:sz w:val="26"/>
          <w:szCs w:val="26"/>
        </w:rPr>
        <w:t xml:space="preserve">Open actions</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Action</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Owner</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Due date</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Status</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Confirm Italy approval escalation path and evidence pack.</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8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Provide Meridian Bank with standard reporting-evidence template.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Rajiv Menon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10 Sep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Reconcile firmware 3.4.2 upgrade windows with local site access.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11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Prepare steering update with progress, risk, and decision ask.</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Ava Nakamura</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14 Sep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Validate Country 14 mapping exceptions and disposition.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Aurora delivery team</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9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bl>
    <w:p>
      <w:pPr>
        <w:spacing w:after="140" w:before="260"/>
      </w:pPr>
      <w:r>
        <w:rPr>
          <w:rFonts w:ascii="Segoe UI" w:cs="Segoe UI" w:eastAsia="Segoe UI" w:hAnsi="Segoe UI"/>
          <w:b/>
          <w:bCs/>
          <w:color w:val="1B3A5C"/>
          <w:sz w:val="26"/>
          <w:szCs w:val="26"/>
        </w:rPr>
        <w:t xml:space="preserve">Next week's plan</w:t>
      </w:r>
    </w:p>
    <w:p>
      <w:pPr>
        <w:pStyle w:val="ListParagraph"/>
        <w:numPr>
          <w:ilvl w:val="0"/>
          <w:numId w:val="1"/>
        </w:numPr>
        <w:spacing w:after="90"/>
      </w:pPr>
      <w:r>
        <w:rPr>
          <w:rFonts w:ascii="Segoe UI" w:cs="Segoe UI" w:eastAsia="Segoe UI" w:hAnsi="Segoe UI"/>
          <w:color w:val="222222"/>
          <w:sz w:val="20"/>
          <w:szCs w:val="20"/>
        </w:rPr>
        <w:t xml:space="preserve">Close the Italy evidence pack and confirm whether Phase 3 should proceed under the sequential fallback plan.</w:t>
      </w:r>
    </w:p>
    <w:p>
      <w:pPr>
        <w:pStyle w:val="ListParagraph"/>
        <w:numPr>
          <w:ilvl w:val="0"/>
          <w:numId w:val="1"/>
        </w:numPr>
        <w:spacing w:after="90"/>
      </w:pPr>
      <w:r>
        <w:rPr>
          <w:rFonts w:ascii="Segoe UI" w:cs="Segoe UI" w:eastAsia="Segoe UI" w:hAnsi="Segoe UI"/>
          <w:color w:val="222222"/>
          <w:sz w:val="20"/>
          <w:szCs w:val="20"/>
        </w:rPr>
        <w:t xml:space="preserve">Normalize acceptance evidence so every remaining country uses the same sign-off structure.</w:t>
      </w:r>
    </w:p>
    <w:p>
      <w:pPr>
        <w:pStyle w:val="ListParagraph"/>
        <w:numPr>
          <w:ilvl w:val="0"/>
          <w:numId w:val="1"/>
        </w:numPr>
        <w:spacing w:after="90"/>
      </w:pPr>
      <w:r>
        <w:rPr>
          <w:rFonts w:ascii="Segoe UI" w:cs="Segoe UI" w:eastAsia="Segoe UI" w:hAnsi="Segoe UI"/>
          <w:color w:val="222222"/>
          <w:sz w:val="20"/>
          <w:szCs w:val="20"/>
        </w:rPr>
        <w:t xml:space="preserve">Move the active firmware 3.4.2 list into country cutover planning rather than exception reporting.</w:t>
      </w:r>
    </w:p>
    <w:p>
      <w:pPr>
        <w:pStyle w:val="ListParagraph"/>
        <w:numPr>
          <w:ilvl w:val="0"/>
          <w:numId w:val="1"/>
        </w:numPr>
        <w:spacing w:after="90"/>
      </w:pPr>
      <w:r>
        <w:rPr>
          <w:rFonts w:ascii="Segoe UI" w:cs="Segoe UI" w:eastAsia="Segoe UI" w:hAnsi="Segoe UI"/>
          <w:color w:val="222222"/>
          <w:sz w:val="20"/>
          <w:szCs w:val="20"/>
        </w:rPr>
        <w:t xml:space="preserve">Prepare the Meridian Bank steering pack with clear owners, dated asks, and quantified value evidence.</w:t>
      </w:r>
    </w:p>
    <w:p>
      <w:pPr>
        <w:pStyle w:val="ListParagraph"/>
        <w:numPr>
          <w:ilvl w:val="0"/>
          <w:numId w:val="1"/>
        </w:numPr>
        <w:spacing w:after="90"/>
      </w:pPr>
      <w:r>
        <w:rPr>
          <w:rFonts w:ascii="Segoe UI" w:cs="Segoe UI" w:eastAsia="Segoe UI" w:hAnsi="Segoe UI"/>
          <w:color w:val="222222"/>
          <w:sz w:val="20"/>
          <w:szCs w:val="20"/>
        </w:rPr>
        <w:t xml:space="preserve">Keep the RAG at Amber unless the Italy decision point passes without an agreed mitigation.</w:t>
      </w:r>
    </w:p>
    <w:p>
      <w:pPr>
        <w:spacing w:after="140" w:before="260"/>
      </w:pPr>
      <w:r>
        <w:rPr>
          <w:rFonts w:ascii="Segoe UI" w:cs="Segoe UI" w:eastAsia="Segoe UI" w:hAnsi="Segoe UI"/>
          <w:b/>
          <w:bCs/>
          <w:color w:val="1B3A5C"/>
          <w:sz w:val="26"/>
          <w:szCs w:val="26"/>
        </w:rPr>
        <w:t xml:space="preserve">Operating commentary</w:t>
      </w:r>
    </w:p>
    <w:p>
      <w:pPr>
        <w:spacing w:after="140" w:line="276"/>
      </w:pPr>
      <w:r>
        <w:rPr>
          <w:rFonts w:ascii="Segoe UI" w:cs="Segoe UI" w:eastAsia="Segoe UI" w:hAnsi="Segoe UI"/>
          <w:color w:val="222222"/>
          <w:sz w:val="20"/>
          <w:szCs w:val="20"/>
        </w:rPr>
        <w:t xml:space="preserve">The joint team is spending less time debating status and more time resolving blockers. Daily reviews now separate true delivery constraints from routine cutover noise, and the single action register is reducing duplicate requests to Meridian Bank reviewers. This operating discipline is important because the remaining work has narrower schedule margins.</w:t>
      </w:r>
    </w:p>
    <w:p>
      <w:pPr>
        <w:spacing w:after="140" w:line="276"/>
      </w:pPr>
      <w:r>
        <w:rPr>
          <w:rFonts w:ascii="Segoe UI" w:cs="Segoe UI" w:eastAsia="Segoe UI" w:hAnsi="Segoe UI"/>
          <w:color w:val="222222"/>
          <w:sz w:val="20"/>
          <w:szCs w:val="20"/>
        </w:rPr>
        <w:t xml:space="preserve">Customer sentiment remains constructive. Helena Vargas is focused on executive confidence and value evidence, while Rajiv Menon is focused on practical handover controls for operations teams. The next update should balance progress with direct asks so the customer can remove external blockers without re-opening already agreed scope.</w:t>
      </w:r>
    </w:p>
    <w:p>
      <w:pPr>
        <w:spacing w:after="140" w:line="276"/>
      </w:pPr>
      <w:r>
        <w:rPr>
          <w:rFonts w:ascii="Segoe UI" w:cs="Segoe UI" w:eastAsia="Segoe UI" w:hAnsi="Segoe UI"/>
          <w:color w:val="222222"/>
          <w:sz w:val="20"/>
          <w:szCs w:val="20"/>
        </w:rPr>
        <w:t xml:space="preserve">No change is requested to the contracted scope. If the Italy dependency remains unresolved, the recommended response is to change sequence, preserve quality gates, and avoid any shortcut that weakens the final operating model. This keeps delivery aligned with the Phase 3 options analysis and the customer QBR discussion.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5A6673"/>
        <w:sz w:val="16"/>
        <w:szCs w:val="16"/>
      </w:rPr>
      <w:t xml:space="preserve">Page </w:t>
    </w:r>
    <w:r>
      <w:rPr>
        <w:rFonts w:ascii="Segoe UI" w:cs="Segoe UI" w:eastAsia="Segoe UI" w:hAnsi="Segoe UI"/>
        <w:color w:val="5A66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spacing w:after="200"/>
    </w:pPr>
    <w:r>
      <w:rPr>
        <w:rFonts w:ascii="Segoe UI" w:cs="Segoe UI" w:eastAsia="Segoe UI" w:hAnsi="Segoe UI"/>
        <w:color w:val="5A6673"/>
        <w:sz w:val="16"/>
        <w:szCs w:val="16"/>
      </w:rPr>
      <w:t xml:space="preserve">NS Status Report W-1</w:t>
    </w:r>
    <w:r>
      <w:rPr>
        <w:rFonts w:ascii="Segoe UI" w:cs="Segoe UI" w:eastAsia="Segoe UI" w:hAnsi="Segoe UI"/>
      </w:rPr>
      <w:t xml:space="preserve">	</w:t>
    </w:r>
    <w:r>
      <w:rPr>
        <w:rFonts w:ascii="Segoe UI" w:cs="Segoe UI" w:eastAsia="Segoe UI" w:hAnsi="Segoe UI"/>
        <w:color w:val="5A6673"/>
        <w:sz w:val="16"/>
        <w:szCs w:val="16"/>
      </w:rPr>
      <w:t xml:space="preserve">Aurora Dynamics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 Status Report W-1</dc:title>
  <dc:creator>Aurora Dynamics</dc:creator>
  <dc:description>Project Northstar — Mon 31 Aug to Sun 6 Sep 2026; issued Mon 7 Sep 2026</dc:description>
  <cp:lastModifiedBy>Un-named</cp:lastModifiedBy>
  <cp:revision>1</cp:revision>
  <dcterms:created xsi:type="dcterms:W3CDTF">2026-09-05T03:15:12.290Z</dcterms:created>
  <dcterms:modified xsi:type="dcterms:W3CDTF">2026-09-05T03:15:12.290Z</dcterms:modified>
</cp:coreProperties>
</file>

<file path=docProps/custom.xml><?xml version="1.0" encoding="utf-8"?>
<Properties xmlns="http://schemas.openxmlformats.org/officeDocument/2006/custom-properties" xmlns:vt="http://schemas.openxmlformats.org/officeDocument/2006/docPropsVTypes"/>
</file>