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GASCOLAE PLATFORM</w:t>
      </w:r>
    </w:p>
    <w:p>
      <w:pPr>
        <w:jc w:val="center"/>
      </w:pPr>
      <w:r>
        <w:rPr>
          <w:rFonts w:ascii="Arial" w:hAnsi="Arial"/>
          <w:b/>
          <w:i w:val="0"/>
          <w:color w:val="003366"/>
          <w:sz w:val="44"/>
        </w:rPr>
        <w:t>02_GASCOLAE_Service_Profile</w:t>
      </w:r>
    </w:p>
    <w:p>
      <w:pPr>
        <w:jc w:val="center"/>
      </w:pPr>
      <w:r>
        <w:rPr>
          <w:rFonts w:ascii="Arial" w:hAnsi="Arial"/>
          <w:b w:val="0"/>
          <w:i w:val="0"/>
          <w:color w:val="003366"/>
          <w:sz w:val="24"/>
        </w:rPr>
        <w:t>DỊCH VỤ S0104 — ĐÁNH GIÁ BÓNG RÂM TUYẾN XE BUÝT ĐỂ TỐI ƯU ĐIỂM DỪNG</w:t>
      </w:r>
    </w:p>
    <w:p>
      <w:pPr>
        <w:jc w:val="center"/>
      </w:pPr>
      <w:r>
        <w:rPr>
          <w:b/>
          <w:color w:val="7F6000"/>
          <w:sz w:val="20"/>
        </w:rPr>
        <w:t>Asset 02 • Service Profile • Version 1.0</w:t>
      </w:r>
    </w:p>
    <w:p>
      <w:pPr>
        <w:spacing w:before="0" w:after="0"/>
      </w:pPr>
    </w:p>
    <w:p>
      <w:pPr>
        <w:pStyle w:val="Heading1"/>
      </w:pPr>
      <w:r>
        <w:rPr>
          <w:color w:val="1F4E79"/>
        </w:rPr>
        <w:t>A. Thông tin nhận diện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Pr>
          <w:p>
            <w:pPr>
              <w:jc w:val="center"/>
            </w:pPr>
            <w:r>
              <w:rPr>
                <w:b/>
                <w:color w:val="FFFFFF"/>
                <w:sz w:val="18"/>
              </w:rPr>
              <w:t>Trường</w:t>
            </w:r>
          </w:p>
        </w:tc>
        <w:tc>
          <w:tcPr>
            <w:tcW w:type="dxa" w:w="5040"/>
            <w:shd w:fill="1F4E78"/>
            <w:vAlign w:val="center"/>
          </w:tcPr>
          <w:p>
            <w:pPr>
              <w:jc w:val="center"/>
            </w:pPr>
            <w:r>
              <w:rPr>
                <w:b/>
                <w:color w:val="FFFFFF"/>
                <w:sz w:val="18"/>
              </w:rPr>
              <w:t>Thông tin</w:t>
            </w:r>
          </w:p>
        </w:tc>
      </w:tr>
      <w:tr>
        <w:tc>
          <w:tcPr>
            <w:tcW w:type="dxa" w:w="5040"/>
            <w:vAlign w:val="top"/>
          </w:tcPr>
          <w:p>
            <w:pPr>
              <w:spacing w:before="40" w:after="40" w:line="276" w:lineRule="auto"/>
            </w:pPr>
            <w:r>
              <w:rPr>
                <w:rFonts w:ascii="Arial" w:hAnsi="Arial"/>
                <w:b w:val="0"/>
                <w:sz w:val="18"/>
              </w:rPr>
              <w:t>Service ID</w:t>
            </w:r>
          </w:p>
        </w:tc>
        <w:tc>
          <w:tcPr>
            <w:tcW w:type="dxa" w:w="5040"/>
            <w:vAlign w:val="top"/>
          </w:tcPr>
          <w:p>
            <w:pPr>
              <w:spacing w:before="40" w:after="40" w:line="276" w:lineRule="auto"/>
            </w:pPr>
            <w:r>
              <w:rPr>
                <w:rFonts w:ascii="Arial" w:hAnsi="Arial"/>
                <w:b w:val="0"/>
                <w:sz w:val="18"/>
              </w:rPr>
              <w:t>S0104</w:t>
            </w:r>
          </w:p>
        </w:tc>
      </w:tr>
      <w:tr>
        <w:tc>
          <w:tcPr>
            <w:tcW w:type="dxa" w:w="5040"/>
            <w:vAlign w:val="top"/>
          </w:tcPr>
          <w:p>
            <w:pPr>
              <w:spacing w:before="40" w:after="40" w:line="276" w:lineRule="auto"/>
            </w:pPr>
            <w:r>
              <w:rPr>
                <w:rFonts w:ascii="Arial" w:hAnsi="Arial"/>
                <w:b w:val="0"/>
                <w:sz w:val="18"/>
              </w:rPr>
              <w:t>Tên dịch vụ</w:t>
            </w:r>
          </w:p>
        </w:tc>
        <w:tc>
          <w:tcPr>
            <w:tcW w:type="dxa" w:w="5040"/>
            <w:vAlign w:val="top"/>
          </w:tcPr>
          <w:p>
            <w:pPr>
              <w:spacing w:before="40" w:after="40" w:line="276" w:lineRule="auto"/>
            </w:pPr>
            <w:r>
              <w:rPr>
                <w:rFonts w:ascii="Arial" w:hAnsi="Arial"/>
                <w:b w:val="0"/>
                <w:sz w:val="18"/>
              </w:rPr>
              <w:t>Đánh giá bóng râm tuyến xe buýt để tối ưu điểm dừng</w:t>
            </w:r>
          </w:p>
        </w:tc>
      </w:tr>
      <w:tr>
        <w:tc>
          <w:tcPr>
            <w:tcW w:type="dxa" w:w="5040"/>
            <w:vAlign w:val="top"/>
          </w:tcPr>
          <w:p>
            <w:pPr>
              <w:spacing w:before="40" w:after="40" w:line="276" w:lineRule="auto"/>
            </w:pPr>
            <w:r>
              <w:rPr>
                <w:rFonts w:ascii="Arial" w:hAnsi="Arial"/>
                <w:b w:val="0"/>
                <w:sz w:val="18"/>
              </w:rPr>
              <w:t>Tên tiếng Anh</w:t>
            </w:r>
          </w:p>
        </w:tc>
        <w:tc>
          <w:tcPr>
            <w:tcW w:type="dxa" w:w="5040"/>
            <w:vAlign w:val="top"/>
          </w:tcPr>
          <w:p>
            <w:pPr>
              <w:spacing w:before="40" w:after="40" w:line="276" w:lineRule="auto"/>
            </w:pPr>
            <w:r>
              <w:rPr>
                <w:rFonts w:ascii="Arial" w:hAnsi="Arial"/>
                <w:b w:val="0"/>
                <w:sz w:val="18"/>
              </w:rPr>
              <w:t>Bus-Stop Shade Analysis for Passenger Comfort</w:t>
            </w:r>
          </w:p>
        </w:tc>
      </w:tr>
      <w:tr>
        <w:tc>
          <w:tcPr>
            <w:tcW w:type="dxa" w:w="5040"/>
            <w:vAlign w:val="top"/>
          </w:tcPr>
          <w:p>
            <w:pPr>
              <w:spacing w:before="40" w:after="40" w:line="276" w:lineRule="auto"/>
            </w:pPr>
            <w:r>
              <w:rPr>
                <w:rFonts w:ascii="Arial" w:hAnsi="Arial"/>
                <w:b w:val="0"/>
                <w:sz w:val="18"/>
              </w:rPr>
              <w:t>Ngành / Phân ngành</w:t>
            </w:r>
          </w:p>
        </w:tc>
        <w:tc>
          <w:tcPr>
            <w:tcW w:type="dxa" w:w="5040"/>
            <w:vAlign w:val="top"/>
          </w:tcPr>
          <w:p>
            <w:pPr>
              <w:spacing w:before="40" w:after="40" w:line="276" w:lineRule="auto"/>
            </w:pPr>
            <w:r>
              <w:rPr>
                <w:rFonts w:ascii="Arial" w:hAnsi="Arial"/>
                <w:b w:val="0"/>
                <w:sz w:val="18"/>
              </w:rPr>
              <w:t>Giao thông vận tải &amp; Hạ tầng đô thị thông minh / Tối ưu hóa hạ tầng xe buýt &amp; Tiện nghi vi khí hậu hè phố</w:t>
            </w:r>
          </w:p>
        </w:tc>
      </w:tr>
      <w:tr>
        <w:tc>
          <w:tcPr>
            <w:tcW w:type="dxa" w:w="5040"/>
            <w:vAlign w:val="top"/>
          </w:tcPr>
          <w:p>
            <w:pPr>
              <w:spacing w:before="40" w:after="40" w:line="276" w:lineRule="auto"/>
            </w:pPr>
            <w:r>
              <w:rPr>
                <w:rFonts w:ascii="Arial" w:hAnsi="Arial"/>
                <w:b w:val="0"/>
                <w:sz w:val="18"/>
              </w:rPr>
              <w:t>Trạng thái</w:t>
            </w:r>
          </w:p>
        </w:tc>
        <w:tc>
          <w:tcPr>
            <w:tcW w:type="dxa" w:w="5040"/>
            <w:vAlign w:val="top"/>
          </w:tcPr>
          <w:p>
            <w:pPr>
              <w:spacing w:before="40" w:after="40" w:line="276" w:lineRule="auto"/>
            </w:pPr>
            <w:r>
              <w:rPr>
                <w:rFonts w:ascii="Arial" w:hAnsi="Arial"/>
                <w:b w:val="0"/>
                <w:sz w:val="18"/>
              </w:rPr>
              <w:t>Hoàn thiện / Đã kiểm định (Approved)</w:t>
            </w:r>
          </w:p>
        </w:tc>
      </w:tr>
    </w:tbl>
    <w:p>
      <w:pPr>
        <w:pStyle w:val="Heading1"/>
      </w:pPr>
      <w:r>
        <w:rPr>
          <w:color w:val="1F4E79"/>
        </w:rPr>
        <w:t>1. One-Sentence Service Description</w:t>
      </w:r>
    </w:p>
    <w:p>
      <w:pPr>
        <w:spacing w:before="0" w:after="0"/>
      </w:pPr>
    </w:p>
    <w:p>
      <w:r>
        <w:rPr>
          <w:rFonts w:ascii="Arial" w:hAnsi="Arial"/>
          <w:b w:val="0"/>
          <w:i/>
          <w:sz w:val="20"/>
        </w:rPr>
        <w:t>Dịch vụ S0104 ứng dụng thiết bị bay không người lái công nghiệp (UAV) kết hợp cảm biến quang trắc độ nét cao và camera nhiệt radiometric để tái lập không gian 3D vi khí hậu hành lang tuyến xe buýt, mô phỏng vết đổ bóng râm liên hợp 365 ngày và chỉ số tiện nghi nhiệt UTCI, từ đó đưa ra phương án khoa học tối ưu hóa điểm đón trả khách (dời cột trạm 15–30m vào bóng mát cây xanh hoặc thiết kế mái che thích ứng đón nắng xiên) giúp giảm 15°C–25°C nhiệt độ bức xạ Tmrt và tiết kiệm hơn 95% chi phí đầu tư so với xây mới nhà chờ.</w:t>
      </w:r>
    </w:p>
    <w:p>
      <w:pPr>
        <w:pStyle w:val="Heading1"/>
      </w:pPr>
      <w:r>
        <w:rPr>
          <w:color w:val="1F4E79"/>
        </w:rPr>
        <w:t>2. Customer Problem – Vấn đề khách hàng</w:t>
      </w:r>
    </w:p>
    <w:p>
      <w:pPr>
        <w:spacing w:before="0" w:after="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pPr>
              <w:jc w:val="center"/>
            </w:pPr>
            <w:r>
              <w:rPr>
                <w:b/>
                <w:color w:val="FFFFFF"/>
                <w:sz w:val="18"/>
              </w:rPr>
              <w:t>Vấn đề chính</w:t>
            </w:r>
          </w:p>
        </w:tc>
        <w:tc>
          <w:tcPr>
            <w:tcW w:type="dxa" w:w="3360"/>
            <w:shd w:fill="1F4E78"/>
            <w:vAlign w:val="center"/>
          </w:tcPr>
          <w:p>
            <w:pPr>
              <w:jc w:val="center"/>
            </w:pPr>
            <w:r>
              <w:rPr>
                <w:b/>
                <w:color w:val="FFFFFF"/>
                <w:sz w:val="18"/>
              </w:rPr>
              <w:t>Mô tả ngắn</w:t>
            </w:r>
          </w:p>
        </w:tc>
        <w:tc>
          <w:tcPr>
            <w:tcW w:type="dxa" w:w="3360"/>
            <w:shd w:fill="1F4E78"/>
            <w:vAlign w:val="center"/>
          </w:tcPr>
          <w:p>
            <w:pPr>
              <w:jc w:val="center"/>
            </w:pPr>
            <w:r>
              <w:rPr>
                <w:b/>
                <w:color w:val="FFFFFF"/>
                <w:sz w:val="18"/>
              </w:rPr>
              <w:t>Nguồn</w:t>
            </w:r>
          </w:p>
        </w:tc>
      </w:tr>
      <w:tr>
        <w:tc>
          <w:tcPr>
            <w:tcW w:type="dxa" w:w="3360"/>
          </w:tcPr>
          <w:p>
            <w:pPr>
              <w:spacing w:before="40" w:after="40" w:line="276" w:lineRule="auto"/>
            </w:pPr>
            <w:r>
              <w:rPr>
                <w:rFonts w:ascii="Arial" w:hAnsi="Arial"/>
                <w:b w:val="0"/>
                <w:sz w:val="18"/>
              </w:rPr>
              <w:t>Hành khách phơi nắng gay gắt tại các trạm cắm cột</w:t>
            </w:r>
          </w:p>
        </w:tc>
        <w:tc>
          <w:tcPr>
            <w:tcW w:type="dxa" w:w="3360"/>
          </w:tcPr>
          <w:p>
            <w:pPr>
              <w:spacing w:before="40" w:after="40" w:line="276" w:lineRule="auto"/>
            </w:pPr>
            <w:r>
              <w:rPr>
                <w:rFonts w:ascii="Arial" w:hAnsi="Arial"/>
                <w:b w:val="0"/>
                <w:sz w:val="18"/>
              </w:rPr>
              <w:t>60%–70% điểm đón trả khách chỉ có cột biển báo kim loại đơn sơ, không mái che; người dân chịu nắng nóng 39°C–41°C trong 15–30 phút; UV cực đại 10.5–11.8 cấp cực kỳ nguy hiểm.</w:t>
            </w:r>
          </w:p>
        </w:tc>
        <w:tc>
          <w:tcPr>
            <w:tcW w:type="dxa" w:w="3360"/>
          </w:tcPr>
          <w:p>
            <w:pPr>
              <w:spacing w:before="40" w:after="40" w:line="276" w:lineRule="auto"/>
            </w:pPr>
            <w:r>
              <w:rPr>
                <w:rFonts w:ascii="Arial" w:hAnsi="Arial"/>
                <w:b w:val="0"/>
                <w:sz w:val="18"/>
              </w:rPr>
              <w:t>SRC-14, SRC-15</w:t>
            </w:r>
          </w:p>
        </w:tc>
      </w:tr>
      <w:tr>
        <w:tc>
          <w:tcPr>
            <w:tcW w:type="dxa" w:w="3360"/>
          </w:tcPr>
          <w:p>
            <w:pPr>
              <w:spacing w:before="40" w:after="40" w:line="276" w:lineRule="auto"/>
            </w:pPr>
            <w:r>
              <w:rPr>
                <w:rFonts w:ascii="Arial" w:hAnsi="Arial"/>
                <w:b w:val="0"/>
                <w:sz w:val="18"/>
              </w:rPr>
              <w:t>Nghịch lý phân bố không gian bóng râm hè phố</w:t>
            </w:r>
          </w:p>
        </w:tc>
        <w:tc>
          <w:tcPr>
            <w:tcW w:type="dxa" w:w="3360"/>
          </w:tcPr>
          <w:p>
            <w:pPr>
              <w:spacing w:before="40" w:after="40" w:line="276" w:lineRule="auto"/>
            </w:pPr>
            <w:r>
              <w:rPr>
                <w:rFonts w:ascii="Arial" w:hAnsi="Arial"/>
                <w:b w:val="0"/>
                <w:sz w:val="18"/>
              </w:rPr>
              <w:t>Điểm dừng đặt giữa vỉa hè bê tông hấp nhiệt 50°C–55°C, trong khi cách 15–25m là dải bóng mát của cây xanh cổ thụ hoặc khoảng lùi công sở lớn nhưng không được tận dụng.</w:t>
            </w:r>
          </w:p>
        </w:tc>
        <w:tc>
          <w:tcPr>
            <w:tcW w:type="dxa" w:w="3360"/>
          </w:tcPr>
          <w:p>
            <w:pPr>
              <w:spacing w:before="40" w:after="40" w:line="276" w:lineRule="auto"/>
            </w:pPr>
            <w:r>
              <w:rPr>
                <w:rFonts w:ascii="Arial" w:hAnsi="Arial"/>
                <w:b w:val="0"/>
                <w:sz w:val="18"/>
              </w:rPr>
              <w:t>SRC-02, SRC-03, SRC-13</w:t>
            </w:r>
          </w:p>
        </w:tc>
      </w:tr>
      <w:tr>
        <w:tc>
          <w:tcPr>
            <w:tcW w:type="dxa" w:w="3360"/>
          </w:tcPr>
          <w:p>
            <w:pPr>
              <w:spacing w:before="40" w:after="40" w:line="276" w:lineRule="auto"/>
            </w:pPr>
            <w:r>
              <w:rPr>
                <w:rFonts w:ascii="Arial" w:hAnsi="Arial"/>
                <w:b w:val="0"/>
                <w:sz w:val="18"/>
              </w:rPr>
              <w:t>Rào cản vỉa hè hẹp cản trở xây nhà chờ kiên cố</w:t>
            </w:r>
          </w:p>
        </w:tc>
        <w:tc>
          <w:tcPr>
            <w:tcW w:type="dxa" w:w="3360"/>
          </w:tcPr>
          <w:p>
            <w:pPr>
              <w:spacing w:before="40" w:after="40" w:line="276" w:lineRule="auto"/>
            </w:pPr>
            <w:r>
              <w:rPr>
                <w:rFonts w:ascii="Arial" w:hAnsi="Arial"/>
                <w:b w:val="0"/>
                <w:sz w:val="18"/>
              </w:rPr>
              <w:t>Nhiều tuyến đường nội đô có vỉa hè hẹp &lt; 2.0m, không đủ điều kiện tĩnh không và lối đi bộ thông thủy ≥ 1.5m theo TCVN 13592:2022 để xây dựng nhà chờ bằng thép có mái che.</w:t>
            </w:r>
          </w:p>
        </w:tc>
        <w:tc>
          <w:tcPr>
            <w:tcW w:type="dxa" w:w="3360"/>
          </w:tcPr>
          <w:p>
            <w:pPr>
              <w:spacing w:before="40" w:after="40" w:line="276" w:lineRule="auto"/>
            </w:pPr>
            <w:r>
              <w:rPr>
                <w:rFonts w:ascii="Arial" w:hAnsi="Arial"/>
                <w:b w:val="0"/>
                <w:sz w:val="18"/>
              </w:rPr>
              <w:t>SRC-16</w:t>
            </w:r>
          </w:p>
        </w:tc>
      </w:tr>
      <w:tr>
        <w:tc>
          <w:tcPr>
            <w:tcW w:type="dxa" w:w="3360"/>
          </w:tcPr>
          <w:p>
            <w:pPr>
              <w:spacing w:before="40" w:after="40" w:line="276" w:lineRule="auto"/>
            </w:pPr>
            <w:r>
              <w:rPr>
                <w:rFonts w:ascii="Arial" w:hAnsi="Arial"/>
                <w:b w:val="0"/>
                <w:sz w:val="18"/>
              </w:rPr>
              <w:t>Hiện tượng nắng xiên chiều vô hiệu hóa mái che</w:t>
            </w:r>
          </w:p>
        </w:tc>
        <w:tc>
          <w:tcPr>
            <w:tcW w:type="dxa" w:w="3360"/>
          </w:tcPr>
          <w:p>
            <w:pPr>
              <w:spacing w:before="40" w:after="40" w:line="276" w:lineRule="auto"/>
            </w:pPr>
            <w:r>
              <w:rPr>
                <w:rFonts w:ascii="Arial" w:hAnsi="Arial"/>
                <w:b w:val="0"/>
                <w:sz w:val="18"/>
              </w:rPr>
              <w:t>Vào khung giờ cao điểm chiều (14h00–16h30), góc nắng xiên hướng Tây chiếu sâu vào bên trong nhà chờ hiện hữu khiến toàn bộ ghế ngồi bị phơi nắng, hành khách không thể ngồi chờ.</w:t>
            </w:r>
          </w:p>
        </w:tc>
        <w:tc>
          <w:tcPr>
            <w:tcW w:type="dxa" w:w="3360"/>
          </w:tcPr>
          <w:p>
            <w:pPr>
              <w:spacing w:before="40" w:after="40" w:line="276" w:lineRule="auto"/>
            </w:pPr>
            <w:r>
              <w:rPr>
                <w:rFonts w:ascii="Arial" w:hAnsi="Arial"/>
                <w:b w:val="0"/>
                <w:sz w:val="18"/>
              </w:rPr>
              <w:t>SRC-12, SRC-13</w:t>
            </w:r>
          </w:p>
        </w:tc>
      </w:tr>
      <w:tr>
        <w:tc>
          <w:tcPr>
            <w:tcW w:type="dxa" w:w="3360"/>
          </w:tcPr>
          <w:p>
            <w:pPr>
              <w:spacing w:before="40" w:after="40" w:line="276" w:lineRule="auto"/>
            </w:pPr>
            <w:r>
              <w:rPr>
                <w:rFonts w:ascii="Arial" w:hAnsi="Arial"/>
                <w:b w:val="0"/>
                <w:sz w:val="18"/>
              </w:rPr>
              <w:t>Thiếu công cụ số hóa định lượng cho quản lý</w:t>
            </w:r>
          </w:p>
        </w:tc>
        <w:tc>
          <w:tcPr>
            <w:tcW w:type="dxa" w:w="3360"/>
          </w:tcPr>
          <w:p>
            <w:pPr>
              <w:spacing w:before="40" w:after="40" w:line="276" w:lineRule="auto"/>
            </w:pPr>
            <w:r>
              <w:rPr>
                <w:rFonts w:ascii="Arial" w:hAnsi="Arial"/>
                <w:b w:val="0"/>
                <w:sz w:val="18"/>
              </w:rPr>
              <w:t>Cơ quan quản lý nhà nước thiếu công cụ mô hình hóa 3D vi khí hậu trực quan để thẩm định vị trí trạm dừng, chủ yếu khảo sát cảm tính thủ công dẫn đến lãng phí ngân sách.</w:t>
            </w:r>
          </w:p>
        </w:tc>
        <w:tc>
          <w:tcPr>
            <w:tcW w:type="dxa" w:w="3360"/>
          </w:tcPr>
          <w:p>
            <w:pPr>
              <w:spacing w:before="40" w:after="40" w:line="276" w:lineRule="auto"/>
            </w:pPr>
            <w:r>
              <w:rPr>
                <w:rFonts w:ascii="Arial" w:hAnsi="Arial"/>
                <w:b w:val="0"/>
                <w:sz w:val="18"/>
              </w:rPr>
              <w:t>SRC-01, SRC-05</w:t>
            </w:r>
          </w:p>
        </w:tc>
      </w:tr>
    </w:tbl>
    <w:p>
      <w:pPr>
        <w:pStyle w:val="Heading1"/>
      </w:pPr>
      <w:r>
        <w:rPr>
          <w:color w:val="1F4E79"/>
        </w:rPr>
        <w:t>3. Target Customer – Khách hàng mục tiêu</w:t>
      </w:r>
    </w:p>
    <w:p>
      <w:pPr>
        <w:spacing w:before="0" w:after="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pPr>
              <w:jc w:val="center"/>
            </w:pPr>
            <w:r>
              <w:rPr>
                <w:b/>
                <w:color w:val="FFFFFF"/>
                <w:sz w:val="18"/>
              </w:rPr>
              <w:t>Nhóm khách hàng / Vai trò</w:t>
            </w:r>
          </w:p>
        </w:tc>
        <w:tc>
          <w:tcPr>
            <w:tcW w:type="dxa" w:w="3360"/>
            <w:shd w:fill="1F4E78"/>
            <w:vAlign w:val="center"/>
          </w:tcPr>
          <w:p>
            <w:pPr>
              <w:jc w:val="center"/>
            </w:pPr>
            <w:r>
              <w:rPr>
                <w:b/>
                <w:color w:val="FFFFFF"/>
                <w:sz w:val="18"/>
              </w:rPr>
              <w:t>Nhu cầu chính</w:t>
            </w:r>
          </w:p>
        </w:tc>
        <w:tc>
          <w:tcPr>
            <w:tcW w:type="dxa" w:w="3360"/>
            <w:shd w:fill="1F4E78"/>
            <w:vAlign w:val="center"/>
          </w:tcPr>
          <w:p>
            <w:pPr>
              <w:jc w:val="center"/>
            </w:pPr>
            <w:r>
              <w:rPr>
                <w:b/>
                <w:color w:val="FFFFFF"/>
                <w:sz w:val="18"/>
              </w:rPr>
              <w:t>Nguồn</w:t>
            </w:r>
          </w:p>
        </w:tc>
      </w:tr>
      <w:tr>
        <w:tc>
          <w:tcPr>
            <w:tcW w:type="dxa" w:w="3360"/>
          </w:tcPr>
          <w:p>
            <w:pPr>
              <w:spacing w:before="40" w:after="40" w:line="276" w:lineRule="auto"/>
            </w:pPr>
            <w:r>
              <w:rPr>
                <w:rFonts w:ascii="Arial" w:hAnsi="Arial"/>
                <w:b w:val="0"/>
                <w:sz w:val="18"/>
              </w:rPr>
              <w:t>Sở GTVT &amp; Trung tâm Quản lý Giao thông công cộng (B2G)</w:t>
            </w:r>
          </w:p>
        </w:tc>
        <w:tc>
          <w:tcPr>
            <w:tcW w:type="dxa" w:w="3360"/>
          </w:tcPr>
          <w:p>
            <w:pPr>
              <w:spacing w:before="40" w:after="40" w:line="276" w:lineRule="auto"/>
            </w:pPr>
            <w:r>
              <w:rPr>
                <w:rFonts w:ascii="Arial" w:hAnsi="Arial"/>
                <w:b w:val="0"/>
                <w:sz w:val="18"/>
              </w:rPr>
              <w:t>Cần cơ sở khoa học định lượng để tối ưu hóa mạng lưới điểm dừng, nâng cao chất lượng phục vụ hành khách, giải ngân hiệu quả nguồn vốn cải tạo hạ tầng với chi phí tối thiểu theo TCVN 13592:2022.</w:t>
            </w:r>
          </w:p>
        </w:tc>
        <w:tc>
          <w:tcPr>
            <w:tcW w:type="dxa" w:w="3360"/>
          </w:tcPr>
          <w:p>
            <w:pPr>
              <w:spacing w:before="40" w:after="40" w:line="276" w:lineRule="auto"/>
            </w:pPr>
            <w:r>
              <w:rPr>
                <w:rFonts w:ascii="Arial" w:hAnsi="Arial"/>
                <w:b w:val="0"/>
                <w:sz w:val="18"/>
              </w:rPr>
              <w:t>SRC-13, SRC-14, SRC-16</w:t>
            </w:r>
          </w:p>
        </w:tc>
      </w:tr>
      <w:tr>
        <w:tc>
          <w:tcPr>
            <w:tcW w:type="dxa" w:w="3360"/>
          </w:tcPr>
          <w:p>
            <w:pPr>
              <w:spacing w:before="40" w:after="40" w:line="276" w:lineRule="auto"/>
            </w:pPr>
            <w:r>
              <w:rPr>
                <w:rFonts w:ascii="Arial" w:hAnsi="Arial"/>
                <w:b w:val="0"/>
                <w:sz w:val="18"/>
              </w:rPr>
              <w:t>Doanh nghiệp vận tải hành khách xe buýt (B2B)</w:t>
            </w:r>
          </w:p>
        </w:tc>
        <w:tc>
          <w:tcPr>
            <w:tcW w:type="dxa" w:w="3360"/>
          </w:tcPr>
          <w:p>
            <w:pPr>
              <w:spacing w:before="40" w:after="40" w:line="276" w:lineRule="auto"/>
            </w:pPr>
            <w:r>
              <w:rPr>
                <w:rFonts w:ascii="Arial" w:hAnsi="Arial"/>
                <w:b w:val="0"/>
                <w:sz w:val="18"/>
              </w:rPr>
              <w:t>Muốn xóa bỏ nỗi sợ say nắng, bỏng rát khi chờ xe của người dân, tăng sản lượng hành khách từ 12%–18%, nâng cao hình ảnh thương hiệu vận tải công cộng văn minh, tiện nghi.</w:t>
            </w:r>
          </w:p>
        </w:tc>
        <w:tc>
          <w:tcPr>
            <w:tcW w:type="dxa" w:w="3360"/>
          </w:tcPr>
          <w:p>
            <w:pPr>
              <w:spacing w:before="40" w:after="40" w:line="276" w:lineRule="auto"/>
            </w:pPr>
            <w:r>
              <w:rPr>
                <w:rFonts w:ascii="Arial" w:hAnsi="Arial"/>
                <w:b w:val="0"/>
                <w:sz w:val="18"/>
              </w:rPr>
              <w:t>SRC-05, SRC-13</w:t>
            </w:r>
          </w:p>
        </w:tc>
      </w:tr>
      <w:tr>
        <w:tc>
          <w:tcPr>
            <w:tcW w:type="dxa" w:w="3360"/>
          </w:tcPr>
          <w:p>
            <w:pPr>
              <w:spacing w:before="40" w:after="40" w:line="276" w:lineRule="auto"/>
            </w:pPr>
            <w:r>
              <w:rPr>
                <w:rFonts w:ascii="Arial" w:hAnsi="Arial"/>
                <w:b w:val="0"/>
                <w:sz w:val="18"/>
              </w:rPr>
              <w:t>Ban Quản lý Dự án Đô thị &amp; Giao thông Xanh (B2G/B2B)</w:t>
            </w:r>
          </w:p>
        </w:tc>
        <w:tc>
          <w:tcPr>
            <w:tcW w:type="dxa" w:w="3360"/>
          </w:tcPr>
          <w:p>
            <w:pPr>
              <w:spacing w:before="40" w:after="40" w:line="276" w:lineRule="auto"/>
            </w:pPr>
            <w:r>
              <w:rPr>
                <w:rFonts w:ascii="Arial" w:hAnsi="Arial"/>
                <w:b w:val="0"/>
                <w:sz w:val="18"/>
              </w:rPr>
              <w:t>Cần dữ liệu khảo sát vi khí hậu 3D hiện trạng phục vụ lập báo cáo tiền khả thi cho các đề án mở mới tuyến buýt điện, xe buýt phát thải thấp thích ứng biến đổi khí hậu.</w:t>
            </w:r>
          </w:p>
        </w:tc>
        <w:tc>
          <w:tcPr>
            <w:tcW w:type="dxa" w:w="3360"/>
          </w:tcPr>
          <w:p>
            <w:pPr>
              <w:spacing w:before="40" w:after="40" w:line="276" w:lineRule="auto"/>
            </w:pPr>
            <w:r>
              <w:rPr>
                <w:rFonts w:ascii="Arial" w:hAnsi="Arial"/>
                <w:b w:val="0"/>
                <w:sz w:val="18"/>
              </w:rPr>
              <w:t>SRC-04, SRC-05, SRC-19</w:t>
            </w:r>
          </w:p>
        </w:tc>
      </w:tr>
      <w:tr>
        <w:tc>
          <w:tcPr>
            <w:tcW w:type="dxa" w:w="3360"/>
          </w:tcPr>
          <w:p>
            <w:pPr>
              <w:spacing w:before="40" w:after="40" w:line="276" w:lineRule="auto"/>
            </w:pPr>
            <w:r>
              <w:rPr>
                <w:rFonts w:ascii="Arial" w:hAnsi="Arial"/>
                <w:b w:val="0"/>
                <w:sz w:val="18"/>
              </w:rPr>
              <w:t>Cộng đồng hành khách &amp; Người dân đô thị (Bên hưởng lợi)</w:t>
            </w:r>
          </w:p>
        </w:tc>
        <w:tc>
          <w:tcPr>
            <w:tcW w:type="dxa" w:w="3360"/>
          </w:tcPr>
          <w:p>
            <w:pPr>
              <w:spacing w:before="40" w:after="40" w:line="276" w:lineRule="auto"/>
            </w:pPr>
            <w:r>
              <w:rPr>
                <w:rFonts w:ascii="Arial" w:hAnsi="Arial"/>
                <w:b w:val="0"/>
                <w:sz w:val="18"/>
              </w:rPr>
              <w:t>Được đón xe buýt dưới không gian bóng mát dễ chịu, ngăn ngừa sốc nhiệt; bảo đảm lối đi bộ thông thoáng (≥ 1.5m), không làm che chắn tầm nhìn kinh doanh của các hộ mặt tiền.</w:t>
            </w:r>
          </w:p>
        </w:tc>
        <w:tc>
          <w:tcPr>
            <w:tcW w:type="dxa" w:w="3360"/>
          </w:tcPr>
          <w:p>
            <w:pPr>
              <w:spacing w:before="40" w:after="40" w:line="276" w:lineRule="auto"/>
            </w:pPr>
            <w:r>
              <w:rPr>
                <w:rFonts w:ascii="Arial" w:hAnsi="Arial"/>
                <w:b w:val="0"/>
                <w:sz w:val="18"/>
              </w:rPr>
              <w:t>SRC-13, SRC-15, SRC-16</w:t>
            </w:r>
          </w:p>
        </w:tc>
      </w:tr>
    </w:tbl>
    <w:p>
      <w:pPr>
        <w:pStyle w:val="Heading1"/>
      </w:pPr>
      <w:r>
        <w:rPr>
          <w:color w:val="1F4E79"/>
        </w:rPr>
        <w:t>4. Solution – Giải pháp</w:t>
      </w:r>
    </w:p>
    <w:p>
      <w:pPr>
        <w:spacing w:before="0" w:after="0"/>
      </w:pPr>
    </w:p>
    <w:p>
      <w:r>
        <w:rPr>
          <w:rFonts w:ascii="Arial" w:hAnsi="Arial"/>
          <w:b w:val="0"/>
          <w:i w:val="0"/>
          <w:sz w:val="20"/>
        </w:rPr>
        <w:t>Dịch vụ S0104 cung cấp giải pháp làm mát đô thị thụ động (Passive Urban Cooling) dựa trên chuỗi công nghệ khép kín: (1) Khảo sát 3D vi khí hậu siêu chính xác bằng UAV Matrice 350 RTK gắn Zenmuse P1 (GSD &lt; 1.5cm, RMSE ≤ 1.8cm) và camera nhiệt hồng ngoại M3T; (2) Bóc tách công trình và tán cây hè phố, mô phỏng bóng râm liên hợp 365 ngày bằng thuật toán Ray-tracing; (3) Lượng hóa trường nhiệt Tmrt và chỉ số ứng suất nhiệt UTCI trên mô hình SOLWEIG GPU và ENVI-met; (4) Đưa ra khuyến nghị dời trạm 15–30m vào bóng râm tự nhiên sẵn có hoặc cải tạo mái che đón nắng xiên chiều, bàn giao trên nền tảng bản đồ số 3D WebGIS tương tác.</w:t>
      </w:r>
    </w:p>
    <w:p>
      <w:pPr>
        <w:pStyle w:val="Heading1"/>
      </w:pPr>
      <w:r>
        <w:rPr>
          <w:color w:val="1F4E79"/>
        </w:rPr>
        <w:t>5. Key Capabilities – Năng lực chính</w:t>
      </w:r>
    </w:p>
    <w:p>
      <w:pPr>
        <w:spacing w:before="0" w:after="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pPr>
              <w:jc w:val="center"/>
            </w:pPr>
            <w:r>
              <w:rPr>
                <w:b/>
                <w:color w:val="FFFFFF"/>
                <w:sz w:val="18"/>
              </w:rPr>
              <w:t>Năng lực</w:t>
            </w:r>
          </w:p>
        </w:tc>
        <w:tc>
          <w:tcPr>
            <w:tcW w:type="dxa" w:w="3360"/>
            <w:shd w:fill="1F4E78"/>
            <w:vAlign w:val="center"/>
          </w:tcPr>
          <w:p>
            <w:pPr>
              <w:jc w:val="center"/>
            </w:pPr>
            <w:r>
              <w:rPr>
                <w:b/>
                <w:color w:val="FFFFFF"/>
                <w:sz w:val="18"/>
              </w:rPr>
              <w:t>Mô tả ngắn</w:t>
            </w:r>
          </w:p>
        </w:tc>
        <w:tc>
          <w:tcPr>
            <w:tcW w:type="dxa" w:w="3360"/>
            <w:shd w:fill="1F4E78"/>
            <w:vAlign w:val="center"/>
          </w:tcPr>
          <w:p>
            <w:pPr>
              <w:jc w:val="center"/>
            </w:pPr>
            <w:r>
              <w:rPr>
                <w:b/>
                <w:color w:val="FFFFFF"/>
                <w:sz w:val="18"/>
              </w:rPr>
              <w:t>Nguồn</w:t>
            </w:r>
          </w:p>
        </w:tc>
      </w:tr>
      <w:tr>
        <w:tc>
          <w:tcPr>
            <w:tcW w:type="dxa" w:w="3360"/>
          </w:tcPr>
          <w:p>
            <w:pPr>
              <w:spacing w:before="40" w:after="40" w:line="276" w:lineRule="auto"/>
            </w:pPr>
            <w:r>
              <w:rPr>
                <w:rFonts w:ascii="Arial" w:hAnsi="Arial"/>
                <w:b w:val="0"/>
                <w:sz w:val="18"/>
              </w:rPr>
              <w:t>Quang trắc góc nhìn tối ưu OVP (RMSE ≤ 1.8cm)</w:t>
            </w:r>
          </w:p>
        </w:tc>
        <w:tc>
          <w:tcPr>
            <w:tcW w:type="dxa" w:w="3360"/>
          </w:tcPr>
          <w:p>
            <w:pPr>
              <w:spacing w:before="40" w:after="40" w:line="276" w:lineRule="auto"/>
            </w:pPr>
            <w:r>
              <w:rPr>
                <w:rFonts w:ascii="Arial" w:hAnsi="Arial"/>
                <w:b w:val="0"/>
                <w:sz w:val="18"/>
              </w:rPr>
              <w:t>Tự động sinh đường bay 3D thích ứng bám sát công trình và tán cây hè phố, triệt tiêu điểm mù hình học, tăng độ chi tiết lưới 3D Mesh từ 3 đến 5 lần.</w:t>
            </w:r>
          </w:p>
        </w:tc>
        <w:tc>
          <w:tcPr>
            <w:tcW w:type="dxa" w:w="3360"/>
          </w:tcPr>
          <w:p>
            <w:pPr>
              <w:spacing w:before="40" w:after="40" w:line="276" w:lineRule="auto"/>
            </w:pPr>
            <w:r>
              <w:rPr>
                <w:rFonts w:ascii="Arial" w:hAnsi="Arial"/>
                <w:b w:val="0"/>
                <w:sz w:val="18"/>
              </w:rPr>
              <w:t>SRC-04, SRC-06</w:t>
            </w:r>
          </w:p>
        </w:tc>
      </w:tr>
      <w:tr>
        <w:tc>
          <w:tcPr>
            <w:tcW w:type="dxa" w:w="3360"/>
          </w:tcPr>
          <w:p>
            <w:pPr>
              <w:spacing w:before="40" w:after="40" w:line="276" w:lineRule="auto"/>
            </w:pPr>
            <w:r>
              <w:rPr>
                <w:rFonts w:ascii="Arial" w:hAnsi="Arial"/>
                <w:b w:val="0"/>
                <w:sz w:val="18"/>
              </w:rPr>
              <w:t>Quang trắc nhiệt siêu cục bộ độ phân giải 0.01m</w:t>
            </w:r>
          </w:p>
        </w:tc>
        <w:tc>
          <w:tcPr>
            <w:tcW w:type="dxa" w:w="3360"/>
          </w:tcPr>
          <w:p>
            <w:pPr>
              <w:spacing w:before="40" w:after="40" w:line="276" w:lineRule="auto"/>
            </w:pPr>
            <w:r>
              <w:rPr>
                <w:rFonts w:ascii="Arial" w:hAnsi="Arial"/>
                <w:b w:val="0"/>
                <w:sz w:val="18"/>
              </w:rPr>
              <w:t>Đo nhiệt độ bức xạ bề mặt radiometric độ nhạy nhiệt NETD ≤ 50mK, đạt tương quan cao (r &gt; 0.82) với nhiệt độ bức xạ trung bình Tmrt.</w:t>
            </w:r>
          </w:p>
        </w:tc>
        <w:tc>
          <w:tcPr>
            <w:tcW w:type="dxa" w:w="3360"/>
          </w:tcPr>
          <w:p>
            <w:pPr>
              <w:spacing w:before="40" w:after="40" w:line="276" w:lineRule="auto"/>
            </w:pPr>
            <w:r>
              <w:rPr>
                <w:rFonts w:ascii="Arial" w:hAnsi="Arial"/>
                <w:b w:val="0"/>
                <w:sz w:val="18"/>
              </w:rPr>
              <w:t>SRC-02, SRC-08</w:t>
            </w:r>
          </w:p>
        </w:tc>
      </w:tr>
      <w:tr>
        <w:tc>
          <w:tcPr>
            <w:tcW w:type="dxa" w:w="3360"/>
          </w:tcPr>
          <w:p>
            <w:pPr>
              <w:spacing w:before="40" w:after="40" w:line="276" w:lineRule="auto"/>
            </w:pPr>
            <w:r>
              <w:rPr>
                <w:rFonts w:ascii="Arial" w:hAnsi="Arial"/>
                <w:b w:val="0"/>
                <w:sz w:val="18"/>
              </w:rPr>
              <w:t>Mô phỏng bóng râm liên hợp công trình – cây xanh 365 ngày</w:t>
            </w:r>
          </w:p>
        </w:tc>
        <w:tc>
          <w:tcPr>
            <w:tcW w:type="dxa" w:w="3360"/>
          </w:tcPr>
          <w:p>
            <w:pPr>
              <w:spacing w:before="40" w:after="40" w:line="276" w:lineRule="auto"/>
            </w:pPr>
            <w:r>
              <w:rPr>
                <w:rFonts w:ascii="Arial" w:hAnsi="Arial"/>
                <w:b w:val="0"/>
                <w:sz w:val="18"/>
              </w:rPr>
              <w:t>Tính toán chính xác sự giao thoa bóng râm giữa tòa nhà và tán lá cây theo định luật Beer-Lambert mở rộng theo từng khung giờ trong ngày và các mùa trong năm.</w:t>
            </w:r>
          </w:p>
        </w:tc>
        <w:tc>
          <w:tcPr>
            <w:tcW w:type="dxa" w:w="3360"/>
          </w:tcPr>
          <w:p>
            <w:pPr>
              <w:spacing w:before="40" w:after="40" w:line="276" w:lineRule="auto"/>
            </w:pPr>
            <w:r>
              <w:rPr>
                <w:rFonts w:ascii="Arial" w:hAnsi="Arial"/>
                <w:b w:val="0"/>
                <w:sz w:val="18"/>
              </w:rPr>
              <w:t>SRC-01, SRC-03, SRC-10</w:t>
            </w:r>
          </w:p>
        </w:tc>
      </w:tr>
      <w:tr>
        <w:tc>
          <w:tcPr>
            <w:tcW w:type="dxa" w:w="3360"/>
          </w:tcPr>
          <w:p>
            <w:pPr>
              <w:spacing w:before="40" w:after="40" w:line="276" w:lineRule="auto"/>
            </w:pPr>
            <w:r>
              <w:rPr>
                <w:rFonts w:ascii="Arial" w:hAnsi="Arial"/>
                <w:b w:val="0"/>
                <w:sz w:val="18"/>
              </w:rPr>
              <w:t>Đánh giá định lượng tiện nghi nhiệt người (UTCI)</w:t>
            </w:r>
          </w:p>
        </w:tc>
        <w:tc>
          <w:tcPr>
            <w:tcW w:type="dxa" w:w="3360"/>
          </w:tcPr>
          <w:p>
            <w:pPr>
              <w:spacing w:before="40" w:after="40" w:line="276" w:lineRule="auto"/>
            </w:pPr>
            <w:r>
              <w:rPr>
                <w:rFonts w:ascii="Arial" w:hAnsi="Arial"/>
                <w:b w:val="0"/>
                <w:sz w:val="18"/>
              </w:rPr>
              <w:t>Tính toán chỉ số sinh lý khí hậu nhiệt ngoài trời UTCI, xác định chính xác mức độ ứng suất nhiệt từ 'Ứng suất nhiệt rất mạnh' đến 'An toàn'.</w:t>
            </w:r>
          </w:p>
        </w:tc>
        <w:tc>
          <w:tcPr>
            <w:tcW w:type="dxa" w:w="3360"/>
          </w:tcPr>
          <w:p>
            <w:pPr>
              <w:spacing w:before="40" w:after="40" w:line="276" w:lineRule="auto"/>
            </w:pPr>
            <w:r>
              <w:rPr>
                <w:rFonts w:ascii="Arial" w:hAnsi="Arial"/>
                <w:b w:val="0"/>
                <w:sz w:val="18"/>
              </w:rPr>
              <w:t>SRC-01, SRC-11</w:t>
            </w:r>
          </w:p>
        </w:tc>
      </w:tr>
      <w:tr>
        <w:tc>
          <w:tcPr>
            <w:tcW w:type="dxa" w:w="3360"/>
          </w:tcPr>
          <w:p>
            <w:pPr>
              <w:spacing w:before="40" w:after="40" w:line="276" w:lineRule="auto"/>
            </w:pPr>
            <w:r>
              <w:rPr>
                <w:rFonts w:ascii="Arial" w:hAnsi="Arial"/>
                <w:b w:val="0"/>
                <w:sz w:val="18"/>
              </w:rPr>
              <w:t>Tối ưu hóa hình học mái che đón nắng xiên chiều</w:t>
            </w:r>
          </w:p>
        </w:tc>
        <w:tc>
          <w:tcPr>
            <w:tcW w:type="dxa" w:w="3360"/>
          </w:tcPr>
          <w:p>
            <w:pPr>
              <w:spacing w:before="40" w:after="40" w:line="276" w:lineRule="auto"/>
            </w:pPr>
            <w:r>
              <w:rPr>
                <w:rFonts w:ascii="Arial" w:hAnsi="Arial"/>
                <w:b w:val="0"/>
                <w:sz w:val="18"/>
              </w:rPr>
              <w:t>Tính toán góc cao độ và góc phương vị mặt trời để tối ưu độ vươn conson và góc nghiêng mái che (15°–25° hướng Tây Nam) phù hợp mẫu N01, N02, N03.</w:t>
            </w:r>
          </w:p>
        </w:tc>
        <w:tc>
          <w:tcPr>
            <w:tcW w:type="dxa" w:w="3360"/>
          </w:tcPr>
          <w:p>
            <w:pPr>
              <w:spacing w:before="40" w:after="40" w:line="276" w:lineRule="auto"/>
            </w:pPr>
            <w:r>
              <w:rPr>
                <w:rFonts w:ascii="Arial" w:hAnsi="Arial"/>
                <w:b w:val="0"/>
                <w:sz w:val="18"/>
              </w:rPr>
              <w:t>SRC-12, SRC-13</w:t>
            </w:r>
          </w:p>
        </w:tc>
      </w:tr>
      <w:tr>
        <w:tc>
          <w:tcPr>
            <w:tcW w:type="dxa" w:w="3360"/>
          </w:tcPr>
          <w:p>
            <w:pPr>
              <w:spacing w:before="40" w:after="40" w:line="276" w:lineRule="auto"/>
            </w:pPr>
            <w:r>
              <w:rPr>
                <w:rFonts w:ascii="Arial" w:hAnsi="Arial"/>
                <w:b w:val="0"/>
                <w:sz w:val="18"/>
              </w:rPr>
              <w:t>Nền tảng 3D WebGIS &amp; Bảo mật dữ liệu AI tự động</w:t>
            </w:r>
          </w:p>
        </w:tc>
        <w:tc>
          <w:tcPr>
            <w:tcW w:type="dxa" w:w="3360"/>
          </w:tcPr>
          <w:p>
            <w:pPr>
              <w:spacing w:before="40" w:after="40" w:line="276" w:lineRule="auto"/>
            </w:pPr>
            <w:r>
              <w:rPr>
                <w:rFonts w:ascii="Arial" w:hAnsi="Arial"/>
                <w:b w:val="0"/>
                <w:sz w:val="18"/>
              </w:rPr>
              <w:t>Xuất bản dữ liệu trực quan trên WebGIS tương tác; tự động làm mờ 100% khuôn mặt người dân và biển số xe tuân thủ Nghị định 13/2023/NĐ-CP.</w:t>
            </w:r>
          </w:p>
        </w:tc>
        <w:tc>
          <w:tcPr>
            <w:tcW w:type="dxa" w:w="3360"/>
          </w:tcPr>
          <w:p>
            <w:pPr>
              <w:spacing w:before="40" w:after="40" w:line="276" w:lineRule="auto"/>
            </w:pPr>
            <w:r>
              <w:rPr>
                <w:rFonts w:ascii="Arial" w:hAnsi="Arial"/>
                <w:b w:val="0"/>
                <w:sz w:val="18"/>
              </w:rPr>
              <w:t>SRC-01, SRC-20</w:t>
            </w:r>
          </w:p>
        </w:tc>
      </w:tr>
    </w:tbl>
    <w:p>
      <w:pPr>
        <w:pStyle w:val="Heading1"/>
      </w:pPr>
      <w:r>
        <w:rPr>
          <w:color w:val="1F4E79"/>
        </w:rPr>
        <w:t>6. Use Cases – Trường hợp sử dụng</w:t>
      </w:r>
    </w:p>
    <w:p>
      <w:pPr>
        <w:spacing w:before="0" w:after="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Pr>
          <w:p>
            <w:pPr>
              <w:jc w:val="center"/>
            </w:pPr>
            <w:r>
              <w:rPr>
                <w:b/>
                <w:color w:val="FFFFFF"/>
                <w:sz w:val="18"/>
              </w:rPr>
              <w:t>STT</w:t>
            </w:r>
          </w:p>
        </w:tc>
        <w:tc>
          <w:tcPr>
            <w:tcW w:type="dxa" w:w="2520"/>
            <w:shd w:fill="1F4E78"/>
            <w:vAlign w:val="center"/>
          </w:tcPr>
          <w:p>
            <w:pPr>
              <w:jc w:val="center"/>
            </w:pPr>
            <w:r>
              <w:rPr>
                <w:b/>
                <w:color w:val="FFFFFF"/>
                <w:sz w:val="18"/>
              </w:rPr>
              <w:t>Use Case</w:t>
            </w:r>
          </w:p>
        </w:tc>
        <w:tc>
          <w:tcPr>
            <w:tcW w:type="dxa" w:w="2520"/>
            <w:shd w:fill="1F4E78"/>
            <w:vAlign w:val="center"/>
          </w:tcPr>
          <w:p>
            <w:pPr>
              <w:jc w:val="center"/>
            </w:pPr>
            <w:r>
              <w:rPr>
                <w:b/>
                <w:color w:val="FFFFFF"/>
                <w:sz w:val="18"/>
              </w:rPr>
              <w:t>Kết quả chính</w:t>
            </w:r>
          </w:p>
        </w:tc>
        <w:tc>
          <w:tcPr>
            <w:tcW w:type="dxa" w:w="2520"/>
            <w:shd w:fill="1F4E78"/>
            <w:vAlign w:val="center"/>
          </w:tcPr>
          <w:p>
            <w:pPr>
              <w:jc w:val="center"/>
            </w:pPr>
            <w:r>
              <w:rPr>
                <w:b/>
                <w:color w:val="FFFFFF"/>
                <w:sz w:val="18"/>
              </w:rPr>
              <w:t>Nguồn</w:t>
            </w:r>
          </w:p>
        </w:tc>
      </w:tr>
      <w:tr>
        <w:tc>
          <w:tcPr>
            <w:tcW w:type="dxa" w:w="2520"/>
          </w:tcPr>
          <w:p>
            <w:pPr>
              <w:spacing w:before="40" w:after="40" w:line="276" w:lineRule="auto"/>
            </w:pPr>
            <w:r>
              <w:rPr>
                <w:rFonts w:ascii="Arial" w:hAnsi="Arial"/>
                <w:b w:val="0"/>
                <w:sz w:val="18"/>
              </w:rPr>
              <w:t>1</w:t>
            </w:r>
          </w:p>
        </w:tc>
        <w:tc>
          <w:tcPr>
            <w:tcW w:type="dxa" w:w="2520"/>
          </w:tcPr>
          <w:p>
            <w:pPr>
              <w:spacing w:before="40" w:after="40" w:line="276" w:lineRule="auto"/>
            </w:pPr>
            <w:r>
              <w:rPr>
                <w:rFonts w:ascii="Arial" w:hAnsi="Arial"/>
                <w:b w:val="0"/>
                <w:sz w:val="18"/>
              </w:rPr>
              <w:t>Tối ưu hóa dịch chuyển điểm dừng cắm cột (Pole Stop Relocation)</w:t>
            </w:r>
          </w:p>
        </w:tc>
        <w:tc>
          <w:tcPr>
            <w:tcW w:type="dxa" w:w="2520"/>
          </w:tcPr>
          <w:p>
            <w:pPr>
              <w:spacing w:before="40" w:after="40" w:line="276" w:lineRule="auto"/>
            </w:pPr>
            <w:r>
              <w:rPr>
                <w:rFonts w:ascii="Arial" w:hAnsi="Arial"/>
                <w:b w:val="0"/>
                <w:sz w:val="18"/>
              </w:rPr>
              <w:t>Dời cột dừng 18m về phía tán cây sao đen cổ thụ; giảm 18°C nhiệt độ bề mặt, giảm 22°C Tmrt, tiết kiệm 95% chi phí so với xây mới nhà chờ.</w:t>
            </w:r>
          </w:p>
        </w:tc>
        <w:tc>
          <w:tcPr>
            <w:tcW w:type="dxa" w:w="2520"/>
          </w:tcPr>
          <w:p>
            <w:pPr>
              <w:spacing w:before="40" w:after="40" w:line="276" w:lineRule="auto"/>
            </w:pPr>
            <w:r>
              <w:rPr>
                <w:rFonts w:ascii="Arial" w:hAnsi="Arial"/>
                <w:b w:val="0"/>
                <w:sz w:val="18"/>
              </w:rPr>
              <w:t>SRC-01, SRC-02, SRC-13</w:t>
            </w:r>
          </w:p>
        </w:tc>
      </w:tr>
      <w:tr>
        <w:tc>
          <w:tcPr>
            <w:tcW w:type="dxa" w:w="2520"/>
          </w:tcPr>
          <w:p>
            <w:pPr>
              <w:spacing w:before="40" w:after="40" w:line="276" w:lineRule="auto"/>
            </w:pPr>
            <w:r>
              <w:rPr>
                <w:rFonts w:ascii="Arial" w:hAnsi="Arial"/>
                <w:b w:val="0"/>
                <w:sz w:val="18"/>
              </w:rPr>
              <w:t>2</w:t>
            </w:r>
          </w:p>
        </w:tc>
        <w:tc>
          <w:tcPr>
            <w:tcW w:type="dxa" w:w="2520"/>
          </w:tcPr>
          <w:p>
            <w:pPr>
              <w:spacing w:before="40" w:after="40" w:line="276" w:lineRule="auto"/>
            </w:pPr>
            <w:r>
              <w:rPr>
                <w:rFonts w:ascii="Arial" w:hAnsi="Arial"/>
                <w:b w:val="0"/>
                <w:sz w:val="18"/>
              </w:rPr>
              <w:t>Thiết kế mái che vươn thích ứng nắng xiên chiều (Adaptive Cantilever)</w:t>
            </w:r>
          </w:p>
        </w:tc>
        <w:tc>
          <w:tcPr>
            <w:tcW w:type="dxa" w:w="2520"/>
          </w:tcPr>
          <w:p>
            <w:pPr>
              <w:spacing w:before="40" w:after="40" w:line="276" w:lineRule="auto"/>
            </w:pPr>
            <w:r>
              <w:rPr>
                <w:rFonts w:ascii="Arial" w:hAnsi="Arial"/>
                <w:b w:val="0"/>
                <w:sz w:val="18"/>
              </w:rPr>
              <w:t>Bổ sung mái che vươn góc nghiêng 25° hướng Tây Nam hoặc giàn dây leo xanh mẫu N01/N02; triệt tiêu 85% bức xạ mặt trời trực tiếp chiếu vào băng ghế.</w:t>
            </w:r>
          </w:p>
        </w:tc>
        <w:tc>
          <w:tcPr>
            <w:tcW w:type="dxa" w:w="2520"/>
          </w:tcPr>
          <w:p>
            <w:pPr>
              <w:spacing w:before="40" w:after="40" w:line="276" w:lineRule="auto"/>
            </w:pPr>
            <w:r>
              <w:rPr>
                <w:rFonts w:ascii="Arial" w:hAnsi="Arial"/>
                <w:b w:val="0"/>
                <w:sz w:val="18"/>
              </w:rPr>
              <w:t>SRC-03, SRC-12, SRC-13</w:t>
            </w:r>
          </w:p>
        </w:tc>
      </w:tr>
      <w:tr>
        <w:tc>
          <w:tcPr>
            <w:tcW w:type="dxa" w:w="2520"/>
          </w:tcPr>
          <w:p>
            <w:pPr>
              <w:spacing w:before="40" w:after="40" w:line="276" w:lineRule="auto"/>
            </w:pPr>
            <w:r>
              <w:rPr>
                <w:rFonts w:ascii="Arial" w:hAnsi="Arial"/>
                <w:b w:val="0"/>
                <w:sz w:val="18"/>
              </w:rPr>
              <w:t>3</w:t>
            </w:r>
          </w:p>
        </w:tc>
        <w:tc>
          <w:tcPr>
            <w:tcW w:type="dxa" w:w="2520"/>
          </w:tcPr>
          <w:p>
            <w:pPr>
              <w:spacing w:before="40" w:after="40" w:line="276" w:lineRule="auto"/>
            </w:pPr>
            <w:r>
              <w:rPr>
                <w:rFonts w:ascii="Arial" w:hAnsi="Arial"/>
                <w:b w:val="0"/>
                <w:sz w:val="18"/>
              </w:rPr>
              <w:t>Đánh giá vi khí hậu hành lang tuyến quy hoạch xe buýt xanh</w:t>
            </w:r>
          </w:p>
        </w:tc>
        <w:tc>
          <w:tcPr>
            <w:tcW w:type="dxa" w:w="2520"/>
          </w:tcPr>
          <w:p>
            <w:pPr>
              <w:spacing w:before="40" w:after="40" w:line="276" w:lineRule="auto"/>
            </w:pPr>
            <w:r>
              <w:rPr>
                <w:rFonts w:ascii="Arial" w:hAnsi="Arial"/>
                <w:b w:val="0"/>
                <w:sz w:val="18"/>
              </w:rPr>
              <w:t>Quét 3D toàn bộ tuyến buýt 15km; phân tầng 35 điểm dừng theo ứng suất nhiệt UTCI, chỉ định 12 vị trí bóng râm tự nhiên, 15 nhà chờ chuẩn, 8 giàn hoa che mát.</w:t>
            </w:r>
          </w:p>
        </w:tc>
        <w:tc>
          <w:tcPr>
            <w:tcW w:type="dxa" w:w="2520"/>
          </w:tcPr>
          <w:p>
            <w:pPr>
              <w:spacing w:before="40" w:after="40" w:line="276" w:lineRule="auto"/>
            </w:pPr>
            <w:r>
              <w:rPr>
                <w:rFonts w:ascii="Arial" w:hAnsi="Arial"/>
                <w:b w:val="0"/>
                <w:sz w:val="18"/>
              </w:rPr>
              <w:t>SRC-04, SRC-06, SRC-11</w:t>
            </w:r>
          </w:p>
        </w:tc>
      </w:tr>
      <w:tr>
        <w:tc>
          <w:tcPr>
            <w:tcW w:type="dxa" w:w="2520"/>
          </w:tcPr>
          <w:p>
            <w:pPr>
              <w:spacing w:before="40" w:after="40" w:line="276" w:lineRule="auto"/>
            </w:pPr>
            <w:r>
              <w:rPr>
                <w:rFonts w:ascii="Arial" w:hAnsi="Arial"/>
                <w:b w:val="0"/>
                <w:sz w:val="18"/>
              </w:rPr>
              <w:t>4</w:t>
            </w:r>
          </w:p>
        </w:tc>
        <w:tc>
          <w:tcPr>
            <w:tcW w:type="dxa" w:w="2520"/>
          </w:tcPr>
          <w:p>
            <w:pPr>
              <w:spacing w:before="40" w:after="40" w:line="276" w:lineRule="auto"/>
            </w:pPr>
            <w:r>
              <w:rPr>
                <w:rFonts w:ascii="Arial" w:hAnsi="Arial"/>
                <w:b w:val="0"/>
                <w:sz w:val="18"/>
              </w:rPr>
              <w:t>Kiểm toán an toàn nhiệt và cấp chứng nhận trạm dừng tiện nghi</w:t>
            </w:r>
          </w:p>
        </w:tc>
        <w:tc>
          <w:tcPr>
            <w:tcW w:type="dxa" w:w="2520"/>
          </w:tcPr>
          <w:p>
            <w:pPr>
              <w:spacing w:before="40" w:after="40" w:line="276" w:lineRule="auto"/>
            </w:pPr>
            <w:r>
              <w:rPr>
                <w:rFonts w:ascii="Arial" w:hAnsi="Arial"/>
                <w:b w:val="0"/>
                <w:sz w:val="18"/>
              </w:rPr>
              <w:t>Đo quang trắc nhiệt độc lập trước và sau cải tạo 19 vị trí trạm dừng; chứng minh Tmrt giảm từ 61.5°C xuống 38.2°C, chỉ số UTCI về ngưỡng an toàn.</w:t>
            </w:r>
          </w:p>
        </w:tc>
        <w:tc>
          <w:tcPr>
            <w:tcW w:type="dxa" w:w="2520"/>
          </w:tcPr>
          <w:p>
            <w:pPr>
              <w:spacing w:before="40" w:after="40" w:line="276" w:lineRule="auto"/>
            </w:pPr>
            <w:r>
              <w:rPr>
                <w:rFonts w:ascii="Arial" w:hAnsi="Arial"/>
                <w:b w:val="0"/>
                <w:sz w:val="18"/>
              </w:rPr>
              <w:t>SRC-02, SRC-08, SRC-15</w:t>
            </w:r>
          </w:p>
        </w:tc>
      </w:tr>
    </w:tbl>
    <w:p>
      <w:pPr>
        <w:pStyle w:val="Heading1"/>
      </w:pPr>
      <w:r>
        <w:rPr>
          <w:color w:val="1F4E79"/>
        </w:rPr>
        <w:t>7. Service Levels / Packages</w:t>
      </w:r>
    </w:p>
    <w:p>
      <w:pPr>
        <w:spacing w:before="0" w:after="0"/>
      </w:pP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8"/>
            <w:vAlign w:val="center"/>
          </w:tcPr>
          <w:p>
            <w:pPr>
              <w:jc w:val="center"/>
            </w:pPr>
            <w:r>
              <w:rPr>
                <w:b/>
                <w:color w:val="FFFFFF"/>
                <w:sz w:val="18"/>
              </w:rPr>
              <w:t>Level</w:t>
            </w:r>
          </w:p>
        </w:tc>
        <w:tc>
          <w:tcPr>
            <w:tcW w:type="dxa" w:w="2016"/>
            <w:shd w:fill="1F4E78"/>
            <w:vAlign w:val="center"/>
          </w:tcPr>
          <w:p>
            <w:pPr>
              <w:jc w:val="center"/>
            </w:pPr>
            <w:r>
              <w:rPr>
                <w:b/>
                <w:color w:val="FFFFFF"/>
                <w:sz w:val="18"/>
              </w:rPr>
              <w:t>Định vị</w:t>
            </w:r>
          </w:p>
        </w:tc>
        <w:tc>
          <w:tcPr>
            <w:tcW w:type="dxa" w:w="2016"/>
            <w:shd w:fill="1F4E78"/>
            <w:vAlign w:val="center"/>
          </w:tcPr>
          <w:p>
            <w:pPr>
              <w:jc w:val="center"/>
            </w:pPr>
            <w:r>
              <w:rPr>
                <w:b/>
                <w:color w:val="FFFFFF"/>
                <w:sz w:val="18"/>
              </w:rPr>
              <w:t>Công nghệ / Phạm vi</w:t>
            </w:r>
          </w:p>
        </w:tc>
        <w:tc>
          <w:tcPr>
            <w:tcW w:type="dxa" w:w="2016"/>
            <w:shd w:fill="1F4E78"/>
            <w:vAlign w:val="center"/>
          </w:tcPr>
          <w:p>
            <w:pPr>
              <w:jc w:val="center"/>
            </w:pPr>
            <w:r>
              <w:rPr>
                <w:b/>
                <w:color w:val="FFFFFF"/>
                <w:sz w:val="18"/>
              </w:rPr>
              <w:t>Output chính</w:t>
            </w:r>
          </w:p>
        </w:tc>
        <w:tc>
          <w:tcPr>
            <w:tcW w:type="dxa" w:w="2016"/>
            <w:shd w:fill="1F4E78"/>
            <w:vAlign w:val="center"/>
          </w:tcPr>
          <w:p>
            <w:pPr>
              <w:jc w:val="center"/>
            </w:pPr>
            <w:r>
              <w:rPr>
                <w:b/>
                <w:color w:val="FFFFFF"/>
                <w:sz w:val="18"/>
              </w:rPr>
              <w:t>Nguồn</w:t>
            </w:r>
          </w:p>
        </w:tc>
      </w:tr>
      <w:tr>
        <w:tc>
          <w:tcPr>
            <w:tcW w:type="dxa" w:w="2016"/>
          </w:tcPr>
          <w:p>
            <w:pPr>
              <w:spacing w:before="40" w:after="40" w:line="276" w:lineRule="auto"/>
            </w:pPr>
            <w:r>
              <w:rPr>
                <w:rFonts w:ascii="Arial" w:hAnsi="Arial"/>
                <w:b w:val="0"/>
                <w:sz w:val="18"/>
              </w:rPr>
              <w:t>Level 1: Basic</w:t>
            </w:r>
          </w:p>
        </w:tc>
        <w:tc>
          <w:tcPr>
            <w:tcW w:type="dxa" w:w="2016"/>
          </w:tcPr>
          <w:p>
            <w:pPr>
              <w:spacing w:before="40" w:after="40" w:line="276" w:lineRule="auto"/>
            </w:pPr>
            <w:r>
              <w:rPr>
                <w:rFonts w:ascii="Arial" w:hAnsi="Arial"/>
                <w:b w:val="0"/>
                <w:sz w:val="18"/>
              </w:rPr>
              <w:t>Khảo sát &amp; Đánh giá Nhanh chùm điểm dừng đơn lẻ (&lt; 10 điểm, tuyến &lt; 5km).</w:t>
            </w:r>
          </w:p>
        </w:tc>
        <w:tc>
          <w:tcPr>
            <w:tcW w:type="dxa" w:w="2016"/>
          </w:tcPr>
          <w:p>
            <w:pPr>
              <w:spacing w:before="40" w:after="40" w:line="276" w:lineRule="auto"/>
            </w:pPr>
            <w:r>
              <w:rPr>
                <w:rFonts w:ascii="Arial" w:hAnsi="Arial"/>
                <w:b w:val="0"/>
                <w:sz w:val="18"/>
              </w:rPr>
              <w:t>UAV Mavic 3E/3T trắc địa tiêu chuẩn, 3D DSM, thuật toán tính giờ nhận nắng ArcGIS Pro Solar.</w:t>
            </w:r>
          </w:p>
        </w:tc>
        <w:tc>
          <w:tcPr>
            <w:tcW w:type="dxa" w:w="2016"/>
          </w:tcPr>
          <w:p>
            <w:pPr>
              <w:spacing w:before="40" w:after="40" w:line="276" w:lineRule="auto"/>
            </w:pPr>
            <w:r>
              <w:rPr>
                <w:rFonts w:ascii="Arial" w:hAnsi="Arial"/>
                <w:b w:val="0"/>
                <w:sz w:val="18"/>
              </w:rPr>
              <w:t>• Báo cáo hiện trạng bóng râm 10 trạm.</w:t>
              <w:br/>
              <w:t>• Bản đồ đổ bóng 2 mùa Hạ chí &amp; Đông chí.</w:t>
              <w:br/>
              <w:t>• Danh sách tọa độ dời cột trạm cơ bản.</w:t>
            </w:r>
          </w:p>
        </w:tc>
        <w:tc>
          <w:tcPr>
            <w:tcW w:type="dxa" w:w="2016"/>
          </w:tcPr>
          <w:p>
            <w:pPr>
              <w:spacing w:before="40" w:after="40" w:line="276" w:lineRule="auto"/>
            </w:pPr>
            <w:r>
              <w:rPr>
                <w:rFonts w:ascii="Arial" w:hAnsi="Arial"/>
                <w:b w:val="0"/>
                <w:sz w:val="18"/>
              </w:rPr>
              <w:t>SRC-08, SRC-10</w:t>
            </w:r>
          </w:p>
        </w:tc>
      </w:tr>
      <w:tr>
        <w:tc>
          <w:tcPr>
            <w:tcW w:type="dxa" w:w="2016"/>
          </w:tcPr>
          <w:p>
            <w:pPr>
              <w:spacing w:before="40" w:after="40" w:line="276" w:lineRule="auto"/>
            </w:pPr>
            <w:r>
              <w:rPr>
                <w:rFonts w:ascii="Arial" w:hAnsi="Arial"/>
                <w:b w:val="0"/>
                <w:sz w:val="18"/>
              </w:rPr>
              <w:t>Level 2: Standard</w:t>
            </w:r>
          </w:p>
        </w:tc>
        <w:tc>
          <w:tcPr>
            <w:tcW w:type="dxa" w:w="2016"/>
          </w:tcPr>
          <w:p>
            <w:pPr>
              <w:spacing w:before="40" w:after="40" w:line="276" w:lineRule="auto"/>
            </w:pPr>
            <w:r>
              <w:rPr>
                <w:rFonts w:ascii="Arial" w:hAnsi="Arial"/>
                <w:b w:val="0"/>
                <w:sz w:val="18"/>
              </w:rPr>
              <w:t>Tối ưu hóa Toàn diện Tuyến buýt huyết mạch đô thị (10–25km, 30–50 điểm dừng).</w:t>
            </w:r>
          </w:p>
        </w:tc>
        <w:tc>
          <w:tcPr>
            <w:tcW w:type="dxa" w:w="2016"/>
          </w:tcPr>
          <w:p>
            <w:pPr>
              <w:spacing w:before="40" w:after="40" w:line="276" w:lineRule="auto"/>
            </w:pPr>
            <w:r>
              <w:rPr>
                <w:rFonts w:ascii="Arial" w:hAnsi="Arial"/>
                <w:b w:val="0"/>
                <w:sz w:val="18"/>
              </w:rPr>
              <w:t>UAV M350 RTK + Zenmuse P1 + M3T, thuật toán OVP, 3D Mesh, SOLWEIG GPU, tính Tmrt &amp; UTCI.</w:t>
            </w:r>
          </w:p>
        </w:tc>
        <w:tc>
          <w:tcPr>
            <w:tcW w:type="dxa" w:w="2016"/>
          </w:tcPr>
          <w:p>
            <w:pPr>
              <w:spacing w:before="40" w:after="40" w:line="276" w:lineRule="auto"/>
            </w:pPr>
            <w:r>
              <w:rPr>
                <w:rFonts w:ascii="Arial" w:hAnsi="Arial"/>
                <w:b w:val="0"/>
                <w:sz w:val="18"/>
              </w:rPr>
              <w:t>• WebGIS 3D tương tác vi khí hậu toàn tuyến.</w:t>
              <w:br/>
              <w:t>• Ma trận phân tích UTCI 365 ngày từng trạm.</w:t>
              <w:br/>
              <w:t>• Hồ sơ dời trạm &amp; bản vẽ mái che đón nắng xiên.</w:t>
            </w:r>
          </w:p>
        </w:tc>
        <w:tc>
          <w:tcPr>
            <w:tcW w:type="dxa" w:w="2016"/>
          </w:tcPr>
          <w:p>
            <w:pPr>
              <w:spacing w:before="40" w:after="40" w:line="276" w:lineRule="auto"/>
            </w:pPr>
            <w:r>
              <w:rPr>
                <w:rFonts w:ascii="Arial" w:hAnsi="Arial"/>
                <w:b w:val="0"/>
                <w:sz w:val="18"/>
              </w:rPr>
              <w:t>SRC-01, SRC-04, SRC-06, SRC-11</w:t>
            </w:r>
          </w:p>
        </w:tc>
      </w:tr>
      <w:tr>
        <w:tc>
          <w:tcPr>
            <w:tcW w:type="dxa" w:w="2016"/>
          </w:tcPr>
          <w:p>
            <w:pPr>
              <w:spacing w:before="40" w:after="40" w:line="276" w:lineRule="auto"/>
            </w:pPr>
            <w:r>
              <w:rPr>
                <w:rFonts w:ascii="Arial" w:hAnsi="Arial"/>
                <w:b w:val="0"/>
                <w:sz w:val="18"/>
              </w:rPr>
              <w:t>Level 3: Premium</w:t>
            </w:r>
          </w:p>
        </w:tc>
        <w:tc>
          <w:tcPr>
            <w:tcW w:type="dxa" w:w="2016"/>
          </w:tcPr>
          <w:p>
            <w:pPr>
              <w:spacing w:before="40" w:after="40" w:line="276" w:lineRule="auto"/>
            </w:pPr>
            <w:r>
              <w:rPr>
                <w:rFonts w:ascii="Arial" w:hAnsi="Arial"/>
                <w:b w:val="0"/>
                <w:sz w:val="18"/>
              </w:rPr>
              <w:t>Quy hoạch Mạng lưới &amp; Mô phỏng Vi khí hậu Sâu (&gt; 50km, tuyến buýt điện BRT).</w:t>
            </w:r>
          </w:p>
        </w:tc>
        <w:tc>
          <w:tcPr>
            <w:tcW w:type="dxa" w:w="2016"/>
          </w:tcPr>
          <w:p>
            <w:pPr>
              <w:spacing w:before="40" w:after="40" w:line="276" w:lineRule="auto"/>
            </w:pPr>
            <w:r>
              <w:rPr>
                <w:rFonts w:ascii="Arial" w:hAnsi="Arial"/>
                <w:b w:val="0"/>
                <w:sz w:val="18"/>
              </w:rPr>
              <w:t>Toàn bộ Level 2 kết hợp mô phỏng vi khí hậu 3D ENVI-met (tương tác gió-nhiệt-cây), kiểm toán nhiệt 4 mùa.</w:t>
            </w:r>
          </w:p>
        </w:tc>
        <w:tc>
          <w:tcPr>
            <w:tcW w:type="dxa" w:w="2016"/>
          </w:tcPr>
          <w:p>
            <w:pPr>
              <w:spacing w:before="40" w:after="40" w:line="276" w:lineRule="auto"/>
            </w:pPr>
            <w:r>
              <w:rPr>
                <w:rFonts w:ascii="Arial" w:hAnsi="Arial"/>
                <w:b w:val="0"/>
                <w:sz w:val="18"/>
              </w:rPr>
              <w:t>• Digital Twin vi khí hậu hạ tầng xe buýt đô thị.</w:t>
              <w:br/>
              <w:t>• Báo cáo kiểm toán nhiệt &amp; cấp chứng nhận tiện nghi.</w:t>
              <w:br/>
              <w:t>• Khuyến nghị quy hoạch mảng xanh hè phố đồng bộ.</w:t>
            </w:r>
          </w:p>
        </w:tc>
        <w:tc>
          <w:tcPr>
            <w:tcW w:type="dxa" w:w="2016"/>
          </w:tcPr>
          <w:p>
            <w:pPr>
              <w:spacing w:before="40" w:after="40" w:line="276" w:lineRule="auto"/>
            </w:pPr>
            <w:r>
              <w:rPr>
                <w:rFonts w:ascii="Arial" w:hAnsi="Arial"/>
                <w:b w:val="0"/>
                <w:sz w:val="18"/>
              </w:rPr>
              <w:t>SRC-02, SRC-03, SRC-05, SRC-13</w:t>
            </w:r>
          </w:p>
        </w:tc>
      </w:tr>
    </w:tbl>
    <w:p>
      <w:pPr>
        <w:pStyle w:val="Heading1"/>
      </w:pPr>
      <w:r>
        <w:rPr>
          <w:color w:val="1F4E79"/>
        </w:rPr>
        <w:t>8. Key Deliverables – Kết quả bàn giao</w:t>
      </w:r>
    </w:p>
    <w:p>
      <w:pPr>
        <w:spacing w:before="0" w:after="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Pr>
          <w:p>
            <w:pPr>
              <w:jc w:val="center"/>
            </w:pPr>
            <w:r>
              <w:rPr>
                <w:b/>
                <w:color w:val="FFFFFF"/>
                <w:sz w:val="18"/>
              </w:rPr>
              <w:t>STT</w:t>
            </w:r>
          </w:p>
        </w:tc>
        <w:tc>
          <w:tcPr>
            <w:tcW w:type="dxa" w:w="2520"/>
            <w:shd w:fill="1F4E78"/>
            <w:vAlign w:val="center"/>
          </w:tcPr>
          <w:p>
            <w:pPr>
              <w:jc w:val="center"/>
            </w:pPr>
            <w:r>
              <w:rPr>
                <w:b/>
                <w:color w:val="FFFFFF"/>
                <w:sz w:val="18"/>
              </w:rPr>
              <w:t>Deliverable</w:t>
            </w:r>
          </w:p>
        </w:tc>
        <w:tc>
          <w:tcPr>
            <w:tcW w:type="dxa" w:w="2520"/>
            <w:shd w:fill="1F4E78"/>
            <w:vAlign w:val="center"/>
          </w:tcPr>
          <w:p>
            <w:pPr>
              <w:jc w:val="center"/>
            </w:pPr>
            <w:r>
              <w:rPr>
                <w:b/>
                <w:color w:val="FFFFFF"/>
                <w:sz w:val="18"/>
              </w:rPr>
              <w:t>Mô tả ngắn</w:t>
            </w:r>
          </w:p>
        </w:tc>
        <w:tc>
          <w:tcPr>
            <w:tcW w:type="dxa" w:w="2520"/>
            <w:shd w:fill="1F4E78"/>
            <w:vAlign w:val="center"/>
          </w:tcPr>
          <w:p>
            <w:pPr>
              <w:jc w:val="center"/>
            </w:pPr>
            <w:r>
              <w:rPr>
                <w:b/>
                <w:color w:val="FFFFFF"/>
                <w:sz w:val="18"/>
              </w:rPr>
              <w:t>Nguồn</w:t>
            </w:r>
          </w:p>
        </w:tc>
      </w:tr>
      <w:tr>
        <w:tc>
          <w:tcPr>
            <w:tcW w:type="dxa" w:w="2520"/>
          </w:tcPr>
          <w:p>
            <w:pPr>
              <w:spacing w:before="40" w:after="40" w:line="276" w:lineRule="auto"/>
            </w:pPr>
            <w:r>
              <w:rPr>
                <w:rFonts w:ascii="Arial" w:hAnsi="Arial"/>
                <w:b w:val="0"/>
                <w:sz w:val="18"/>
              </w:rPr>
              <w:t>1</w:t>
            </w:r>
          </w:p>
        </w:tc>
        <w:tc>
          <w:tcPr>
            <w:tcW w:type="dxa" w:w="2520"/>
          </w:tcPr>
          <w:p>
            <w:pPr>
              <w:spacing w:before="40" w:after="40" w:line="276" w:lineRule="auto"/>
            </w:pPr>
            <w:r>
              <w:rPr>
                <w:rFonts w:ascii="Arial" w:hAnsi="Arial"/>
                <w:b w:val="0"/>
                <w:sz w:val="18"/>
              </w:rPr>
              <w:t>Bản đồ số 3D WebGIS Vi khí hậu Tuyến</w:t>
            </w:r>
          </w:p>
        </w:tc>
        <w:tc>
          <w:tcPr>
            <w:tcW w:type="dxa" w:w="2520"/>
          </w:tcPr>
          <w:p>
            <w:pPr>
              <w:spacing w:before="40" w:after="40" w:line="276" w:lineRule="auto"/>
            </w:pPr>
            <w:r>
              <w:rPr>
                <w:rFonts w:ascii="Arial" w:hAnsi="Arial"/>
                <w:b w:val="0"/>
                <w:sz w:val="18"/>
              </w:rPr>
              <w:t>Nền tảng Web 3D trực quan thể hiện mô hình 3D Mesh, dải bóng râm công trình - cây xanh và phân tầng ứng suất nhiệt UTCI từng giờ.</w:t>
            </w:r>
          </w:p>
        </w:tc>
        <w:tc>
          <w:tcPr>
            <w:tcW w:type="dxa" w:w="2520"/>
          </w:tcPr>
          <w:p>
            <w:pPr>
              <w:spacing w:before="40" w:after="40" w:line="276" w:lineRule="auto"/>
            </w:pPr>
            <w:r>
              <w:rPr>
                <w:rFonts w:ascii="Arial" w:hAnsi="Arial"/>
                <w:b w:val="0"/>
                <w:sz w:val="18"/>
              </w:rPr>
              <w:t>SRC-01, SRC-09, SRC-10</w:t>
            </w:r>
          </w:p>
        </w:tc>
      </w:tr>
      <w:tr>
        <w:tc>
          <w:tcPr>
            <w:tcW w:type="dxa" w:w="2520"/>
          </w:tcPr>
          <w:p>
            <w:pPr>
              <w:spacing w:before="40" w:after="40" w:line="276" w:lineRule="auto"/>
            </w:pPr>
            <w:r>
              <w:rPr>
                <w:rFonts w:ascii="Arial" w:hAnsi="Arial"/>
                <w:b w:val="0"/>
                <w:sz w:val="18"/>
              </w:rPr>
              <w:t>2</w:t>
            </w:r>
          </w:p>
        </w:tc>
        <w:tc>
          <w:tcPr>
            <w:tcW w:type="dxa" w:w="2520"/>
          </w:tcPr>
          <w:p>
            <w:pPr>
              <w:spacing w:before="40" w:after="40" w:line="276" w:lineRule="auto"/>
            </w:pPr>
            <w:r>
              <w:rPr>
                <w:rFonts w:ascii="Arial" w:hAnsi="Arial"/>
                <w:b w:val="0"/>
                <w:sz w:val="18"/>
              </w:rPr>
              <w:t>Hồ sơ Khuyến nghị Tối ưu hóa Điểm dừng</w:t>
            </w:r>
          </w:p>
        </w:tc>
        <w:tc>
          <w:tcPr>
            <w:tcW w:type="dxa" w:w="2520"/>
          </w:tcPr>
          <w:p>
            <w:pPr>
              <w:spacing w:before="40" w:after="40" w:line="276" w:lineRule="auto"/>
            </w:pPr>
            <w:r>
              <w:rPr>
                <w:rFonts w:ascii="Arial" w:hAnsi="Arial"/>
                <w:b w:val="0"/>
                <w:sz w:val="18"/>
              </w:rPr>
              <w:t>Bảng tọa độ hiện hữu vs đề xuất dời trạm (file Excel/GIS/PDF), cự ly dời (m), diện tích bóng mát tăng thêm (%), mức giảm nhiệt độ dự kiến.</w:t>
            </w:r>
          </w:p>
        </w:tc>
        <w:tc>
          <w:tcPr>
            <w:tcW w:type="dxa" w:w="2520"/>
          </w:tcPr>
          <w:p>
            <w:pPr>
              <w:spacing w:before="40" w:after="40" w:line="276" w:lineRule="auto"/>
            </w:pPr>
            <w:r>
              <w:rPr>
                <w:rFonts w:ascii="Arial" w:hAnsi="Arial"/>
                <w:b w:val="0"/>
                <w:sz w:val="18"/>
              </w:rPr>
              <w:t>SRC-05, SRC-13, SRC-16</w:t>
            </w:r>
          </w:p>
        </w:tc>
      </w:tr>
      <w:tr>
        <w:tc>
          <w:tcPr>
            <w:tcW w:type="dxa" w:w="2520"/>
          </w:tcPr>
          <w:p>
            <w:pPr>
              <w:spacing w:before="40" w:after="40" w:line="276" w:lineRule="auto"/>
            </w:pPr>
            <w:r>
              <w:rPr>
                <w:rFonts w:ascii="Arial" w:hAnsi="Arial"/>
                <w:b w:val="0"/>
                <w:sz w:val="18"/>
              </w:rPr>
              <w:t>3</w:t>
            </w:r>
          </w:p>
        </w:tc>
        <w:tc>
          <w:tcPr>
            <w:tcW w:type="dxa" w:w="2520"/>
          </w:tcPr>
          <w:p>
            <w:pPr>
              <w:spacing w:before="40" w:after="40" w:line="276" w:lineRule="auto"/>
            </w:pPr>
            <w:r>
              <w:rPr>
                <w:rFonts w:ascii="Arial" w:hAnsi="Arial"/>
                <w:b w:val="0"/>
                <w:sz w:val="18"/>
              </w:rPr>
              <w:t>Tập Bản vẽ Hình học Mái che Thích ứng</w:t>
            </w:r>
          </w:p>
        </w:tc>
        <w:tc>
          <w:tcPr>
            <w:tcW w:type="dxa" w:w="2520"/>
          </w:tcPr>
          <w:p>
            <w:pPr>
              <w:spacing w:before="40" w:after="40" w:line="276" w:lineRule="auto"/>
            </w:pPr>
            <w:r>
              <w:rPr>
                <w:rFonts w:ascii="Arial" w:hAnsi="Arial"/>
                <w:b w:val="0"/>
                <w:sz w:val="18"/>
              </w:rPr>
              <w:t>Bản vẽ CAD (.DWG) và PDF A3 thiết kế góc nghiêng, độ vươn conson, tấm chắn nắng bổ sung hướng Tây/Tây Nam phù hợp các mẫu N01, N02, N03.</w:t>
            </w:r>
          </w:p>
        </w:tc>
        <w:tc>
          <w:tcPr>
            <w:tcW w:type="dxa" w:w="2520"/>
          </w:tcPr>
          <w:p>
            <w:pPr>
              <w:spacing w:before="40" w:after="40" w:line="276" w:lineRule="auto"/>
            </w:pPr>
            <w:r>
              <w:rPr>
                <w:rFonts w:ascii="Arial" w:hAnsi="Arial"/>
                <w:b w:val="0"/>
                <w:sz w:val="18"/>
              </w:rPr>
              <w:t>SRC-12, SRC-13</w:t>
            </w:r>
          </w:p>
        </w:tc>
      </w:tr>
      <w:tr>
        <w:tc>
          <w:tcPr>
            <w:tcW w:type="dxa" w:w="2520"/>
          </w:tcPr>
          <w:p>
            <w:pPr>
              <w:spacing w:before="40" w:after="40" w:line="276" w:lineRule="auto"/>
            </w:pPr>
            <w:r>
              <w:rPr>
                <w:rFonts w:ascii="Arial" w:hAnsi="Arial"/>
                <w:b w:val="0"/>
                <w:sz w:val="18"/>
              </w:rPr>
              <w:t>4</w:t>
            </w:r>
          </w:p>
        </w:tc>
        <w:tc>
          <w:tcPr>
            <w:tcW w:type="dxa" w:w="2520"/>
          </w:tcPr>
          <w:p>
            <w:pPr>
              <w:spacing w:before="40" w:after="40" w:line="276" w:lineRule="auto"/>
            </w:pPr>
            <w:r>
              <w:rPr>
                <w:rFonts w:ascii="Arial" w:hAnsi="Arial"/>
                <w:b w:val="0"/>
                <w:sz w:val="18"/>
              </w:rPr>
              <w:t>Báo cáo Khoa học Phân tích Vi khí hậu &amp; Tiện nghi Nhiệt</w:t>
            </w:r>
          </w:p>
        </w:tc>
        <w:tc>
          <w:tcPr>
            <w:tcW w:type="dxa" w:w="2520"/>
          </w:tcPr>
          <w:p>
            <w:pPr>
              <w:spacing w:before="40" w:after="40" w:line="276" w:lineRule="auto"/>
            </w:pPr>
            <w:r>
              <w:rPr>
                <w:rFonts w:ascii="Arial" w:hAnsi="Arial"/>
                <w:b w:val="0"/>
                <w:sz w:val="18"/>
              </w:rPr>
              <w:t>Báo cáo chuyên sâu giải trình phương pháp luận, số liệu kiểm chứng tương quan Tmrt - nhiệt độ bề mặt, biểu đồ bức xạ mặt trời 365 ngày.</w:t>
            </w:r>
          </w:p>
        </w:tc>
        <w:tc>
          <w:tcPr>
            <w:tcW w:type="dxa" w:w="2520"/>
          </w:tcPr>
          <w:p>
            <w:pPr>
              <w:spacing w:before="40" w:after="40" w:line="276" w:lineRule="auto"/>
            </w:pPr>
            <w:r>
              <w:rPr>
                <w:rFonts w:ascii="Arial" w:hAnsi="Arial"/>
                <w:b w:val="0"/>
                <w:sz w:val="18"/>
              </w:rPr>
              <w:t>SRC-02, SRC-03, SRC-11</w:t>
            </w:r>
          </w:p>
        </w:tc>
      </w:tr>
    </w:tbl>
    <w:p>
      <w:pPr>
        <w:pStyle w:val="Heading1"/>
      </w:pPr>
      <w:r>
        <w:rPr>
          <w:color w:val="1F4E79"/>
        </w:rPr>
        <w:t>9. Customer Benefits – Lợi ích chính</w:t>
      </w:r>
    </w:p>
    <w:p>
      <w:pPr>
        <w:spacing w:before="0" w:after="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pPr>
              <w:jc w:val="center"/>
            </w:pPr>
            <w:r>
              <w:rPr>
                <w:b/>
                <w:color w:val="FFFFFF"/>
                <w:sz w:val="18"/>
              </w:rPr>
              <w:t>Lợi ích</w:t>
            </w:r>
          </w:p>
        </w:tc>
        <w:tc>
          <w:tcPr>
            <w:tcW w:type="dxa" w:w="3360"/>
            <w:shd w:fill="1F4E78"/>
            <w:vAlign w:val="center"/>
          </w:tcPr>
          <w:p>
            <w:pPr>
              <w:jc w:val="center"/>
            </w:pPr>
            <w:r>
              <w:rPr>
                <w:b/>
                <w:color w:val="FFFFFF"/>
                <w:sz w:val="18"/>
              </w:rPr>
              <w:t>Mô tả</w:t>
            </w:r>
          </w:p>
        </w:tc>
        <w:tc>
          <w:tcPr>
            <w:tcW w:type="dxa" w:w="3360"/>
            <w:shd w:fill="1F4E78"/>
            <w:vAlign w:val="center"/>
          </w:tcPr>
          <w:p>
            <w:pPr>
              <w:jc w:val="center"/>
            </w:pPr>
            <w:r>
              <w:rPr>
                <w:b/>
                <w:color w:val="FFFFFF"/>
                <w:sz w:val="18"/>
              </w:rPr>
              <w:t>Nguồn</w:t>
            </w:r>
          </w:p>
        </w:tc>
      </w:tr>
      <w:tr>
        <w:tc>
          <w:tcPr>
            <w:tcW w:type="dxa" w:w="3360"/>
          </w:tcPr>
          <w:p>
            <w:pPr>
              <w:spacing w:before="40" w:after="40" w:line="276" w:lineRule="auto"/>
            </w:pPr>
            <w:r>
              <w:rPr>
                <w:rFonts w:ascii="Arial" w:hAnsi="Arial"/>
                <w:b w:val="0"/>
                <w:sz w:val="18"/>
              </w:rPr>
              <w:t>Cải thiện vượt bậc tiện nghi nhiệt cho hành khách</w:t>
            </w:r>
          </w:p>
        </w:tc>
        <w:tc>
          <w:tcPr>
            <w:tcW w:type="dxa" w:w="3360"/>
          </w:tcPr>
          <w:p>
            <w:pPr>
              <w:spacing w:before="40" w:after="40" w:line="276" w:lineRule="auto"/>
            </w:pPr>
            <w:r>
              <w:rPr>
                <w:rFonts w:ascii="Arial" w:hAnsi="Arial"/>
                <w:b w:val="0"/>
                <w:sz w:val="18"/>
              </w:rPr>
              <w:t>Hạ 15°C–25°C nhiệt độ bức xạ Tmrt, giảm cấp ứng suất nhiệt từ 'Nguy hiểm cực độ' về mức dễ chịu, giảm nguy cơ say nắng và sốc nhiệt cho học sinh, người cao tuổi.</w:t>
            </w:r>
          </w:p>
        </w:tc>
        <w:tc>
          <w:tcPr>
            <w:tcW w:type="dxa" w:w="3360"/>
          </w:tcPr>
          <w:p>
            <w:pPr>
              <w:spacing w:before="40" w:after="40" w:line="276" w:lineRule="auto"/>
            </w:pPr>
            <w:r>
              <w:rPr>
                <w:rFonts w:ascii="Arial" w:hAnsi="Arial"/>
                <w:b w:val="0"/>
                <w:sz w:val="18"/>
              </w:rPr>
              <w:t>SRC-01, SRC-02, SRC-15</w:t>
            </w:r>
          </w:p>
        </w:tc>
      </w:tr>
      <w:tr>
        <w:tc>
          <w:tcPr>
            <w:tcW w:type="dxa" w:w="3360"/>
          </w:tcPr>
          <w:p>
            <w:pPr>
              <w:spacing w:before="40" w:after="40" w:line="276" w:lineRule="auto"/>
            </w:pPr>
            <w:r>
              <w:rPr>
                <w:rFonts w:ascii="Arial" w:hAnsi="Arial"/>
                <w:b w:val="0"/>
                <w:sz w:val="18"/>
              </w:rPr>
              <w:t>Tiết kiệm hơn 95% chi phí đầu tư ngân sách hạ tầng</w:t>
            </w:r>
          </w:p>
        </w:tc>
        <w:tc>
          <w:tcPr>
            <w:tcW w:type="dxa" w:w="3360"/>
          </w:tcPr>
          <w:p>
            <w:pPr>
              <w:spacing w:before="40" w:after="40" w:line="276" w:lineRule="auto"/>
            </w:pPr>
            <w:r>
              <w:rPr>
                <w:rFonts w:ascii="Arial" w:hAnsi="Arial"/>
                <w:b w:val="0"/>
                <w:sz w:val="18"/>
              </w:rPr>
              <w:t>Thay vì chi 80–150 triệu VNĐ xây mới nhà chờ thép, giải pháp dời cột trạm vào bóng râm tự nhiên chỉ tiêu tốn 3–5 triệu VNĐ chi phí di dời biển báo và sơn vạch dừng đón.</w:t>
            </w:r>
          </w:p>
        </w:tc>
        <w:tc>
          <w:tcPr>
            <w:tcW w:type="dxa" w:w="3360"/>
          </w:tcPr>
          <w:p>
            <w:pPr>
              <w:spacing w:before="40" w:after="40" w:line="276" w:lineRule="auto"/>
            </w:pPr>
            <w:r>
              <w:rPr>
                <w:rFonts w:ascii="Arial" w:hAnsi="Arial"/>
                <w:b w:val="0"/>
                <w:sz w:val="18"/>
              </w:rPr>
              <w:t>SRC-05, SRC-13, SRC-14</w:t>
            </w:r>
          </w:p>
        </w:tc>
      </w:tr>
      <w:tr>
        <w:tc>
          <w:tcPr>
            <w:tcW w:type="dxa" w:w="3360"/>
          </w:tcPr>
          <w:p>
            <w:pPr>
              <w:spacing w:before="40" w:after="40" w:line="276" w:lineRule="auto"/>
            </w:pPr>
            <w:r>
              <w:rPr>
                <w:rFonts w:ascii="Arial" w:hAnsi="Arial"/>
                <w:b w:val="0"/>
                <w:sz w:val="18"/>
              </w:rPr>
              <w:t>Tăng sản lượng hành khách đi xe buýt từ 12%–18%</w:t>
            </w:r>
          </w:p>
        </w:tc>
        <w:tc>
          <w:tcPr>
            <w:tcW w:type="dxa" w:w="3360"/>
          </w:tcPr>
          <w:p>
            <w:pPr>
              <w:spacing w:before="40" w:after="40" w:line="276" w:lineRule="auto"/>
            </w:pPr>
            <w:r>
              <w:rPr>
                <w:rFonts w:ascii="Arial" w:hAnsi="Arial"/>
                <w:b w:val="0"/>
                <w:sz w:val="18"/>
              </w:rPr>
              <w:t>Xóa bỏ rào cản sợ nắng nóng thiêu đốt khi chờ xe, khuyến khích người dân chuyển đổi từ phương tiện cá nhân sang phương tiện giao thông công cộng xanh.</w:t>
            </w:r>
          </w:p>
        </w:tc>
        <w:tc>
          <w:tcPr>
            <w:tcW w:type="dxa" w:w="3360"/>
          </w:tcPr>
          <w:p>
            <w:pPr>
              <w:spacing w:before="40" w:after="40" w:line="276" w:lineRule="auto"/>
            </w:pPr>
            <w:r>
              <w:rPr>
                <w:rFonts w:ascii="Arial" w:hAnsi="Arial"/>
                <w:b w:val="0"/>
                <w:sz w:val="18"/>
              </w:rPr>
              <w:t>SRC-05, SRC-13</w:t>
            </w:r>
          </w:p>
        </w:tc>
      </w:tr>
      <w:tr>
        <w:tc>
          <w:tcPr>
            <w:tcW w:type="dxa" w:w="3360"/>
          </w:tcPr>
          <w:p>
            <w:pPr>
              <w:spacing w:before="40" w:after="40" w:line="276" w:lineRule="auto"/>
            </w:pPr>
            <w:r>
              <w:rPr>
                <w:rFonts w:ascii="Arial" w:hAnsi="Arial"/>
                <w:b w:val="0"/>
                <w:sz w:val="18"/>
              </w:rPr>
              <w:t>Bảo đảm thông thủy vỉa hè đô thị theo quy chuẩn</w:t>
            </w:r>
          </w:p>
        </w:tc>
        <w:tc>
          <w:tcPr>
            <w:tcW w:type="dxa" w:w="3360"/>
          </w:tcPr>
          <w:p>
            <w:pPr>
              <w:spacing w:before="40" w:after="40" w:line="276" w:lineRule="auto"/>
            </w:pPr>
            <w:r>
              <w:rPr>
                <w:rFonts w:ascii="Arial" w:hAnsi="Arial"/>
                <w:b w:val="0"/>
                <w:sz w:val="18"/>
              </w:rPr>
              <w:t>Giải quyết triệt để bài toán vỉa hè hẹp &lt; 2.0m không thể xây nhà chờ, giữ nguyên lối đi bộ thông thoáng ≥ 1.5m theo TCVN 13592:2022.</w:t>
            </w:r>
          </w:p>
        </w:tc>
        <w:tc>
          <w:tcPr>
            <w:tcW w:type="dxa" w:w="3360"/>
          </w:tcPr>
          <w:p>
            <w:pPr>
              <w:spacing w:before="40" w:after="40" w:line="276" w:lineRule="auto"/>
            </w:pPr>
            <w:r>
              <w:rPr>
                <w:rFonts w:ascii="Arial" w:hAnsi="Arial"/>
                <w:b w:val="0"/>
                <w:sz w:val="18"/>
              </w:rPr>
              <w:t>SRC-16</w:t>
            </w:r>
          </w:p>
        </w:tc>
      </w:tr>
    </w:tbl>
    <w:p>
      <w:pPr>
        <w:pStyle w:val="Heading1"/>
      </w:pPr>
      <w:r>
        <w:rPr>
          <w:color w:val="1F4E79"/>
        </w:rPr>
        <w:t>10. Điều kiện / Lưu ý quan trọng</w:t>
      </w:r>
    </w:p>
    <w:p>
      <w:pPr>
        <w:spacing w:before="0" w:after="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pPr>
              <w:jc w:val="center"/>
            </w:pPr>
            <w:r>
              <w:rPr>
                <w:b/>
                <w:color w:val="FFFFFF"/>
                <w:sz w:val="18"/>
              </w:rPr>
              <w:t>Điều kiện / Lưu ý</w:t>
            </w:r>
          </w:p>
        </w:tc>
        <w:tc>
          <w:tcPr>
            <w:tcW w:type="dxa" w:w="3360"/>
            <w:shd w:fill="1F4E78"/>
            <w:vAlign w:val="center"/>
          </w:tcPr>
          <w:p>
            <w:pPr>
              <w:jc w:val="center"/>
            </w:pPr>
            <w:r>
              <w:rPr>
                <w:b/>
                <w:color w:val="FFFFFF"/>
                <w:sz w:val="18"/>
              </w:rPr>
              <w:t>Nội dung</w:t>
            </w:r>
          </w:p>
        </w:tc>
        <w:tc>
          <w:tcPr>
            <w:tcW w:type="dxa" w:w="3360"/>
            <w:shd w:fill="1F4E78"/>
            <w:vAlign w:val="center"/>
          </w:tcPr>
          <w:p>
            <w:pPr>
              <w:jc w:val="center"/>
            </w:pPr>
            <w:r>
              <w:rPr>
                <w:b/>
                <w:color w:val="FFFFFF"/>
                <w:sz w:val="18"/>
              </w:rPr>
              <w:t>Trạng thái</w:t>
            </w:r>
          </w:p>
        </w:tc>
      </w:tr>
      <w:tr>
        <w:tc>
          <w:tcPr>
            <w:tcW w:type="dxa" w:w="3360"/>
          </w:tcPr>
          <w:p>
            <w:pPr>
              <w:spacing w:before="40" w:after="40" w:line="276" w:lineRule="auto"/>
            </w:pPr>
            <w:r>
              <w:rPr>
                <w:rFonts w:ascii="Arial" w:hAnsi="Arial"/>
                <w:b w:val="0"/>
                <w:sz w:val="18"/>
              </w:rPr>
              <w:t>Dữ liệu đầu vào</w:t>
            </w:r>
          </w:p>
        </w:tc>
        <w:tc>
          <w:tcPr>
            <w:tcW w:type="dxa" w:w="3360"/>
          </w:tcPr>
          <w:p>
            <w:pPr>
              <w:spacing w:before="40" w:after="40" w:line="276" w:lineRule="auto"/>
            </w:pPr>
            <w:r>
              <w:rPr>
                <w:rFonts w:ascii="Arial" w:hAnsi="Arial"/>
                <w:b w:val="0"/>
                <w:sz w:val="18"/>
              </w:rPr>
              <w:t>Danh mục tọa độ các điểm dừng và tuyến xe buýt cần khảo sát; bản đồ chỉ giới đường đỏ hè phố từ Sở GTVT.</w:t>
            </w:r>
          </w:p>
        </w:tc>
        <w:tc>
          <w:tcPr>
            <w:tcW w:type="dxa" w:w="3360"/>
          </w:tcPr>
          <w:p>
            <w:pPr>
              <w:spacing w:before="40" w:after="40" w:line="276" w:lineRule="auto"/>
            </w:pPr>
            <w:r>
              <w:rPr>
                <w:rFonts w:ascii="Arial" w:hAnsi="Arial"/>
                <w:b w:val="0"/>
                <w:sz w:val="18"/>
              </w:rPr>
              <w:t>SRC-13, SRC-16</w:t>
            </w:r>
          </w:p>
        </w:tc>
      </w:tr>
      <w:tr>
        <w:tc>
          <w:tcPr>
            <w:tcW w:type="dxa" w:w="3360"/>
          </w:tcPr>
          <w:p>
            <w:pPr>
              <w:spacing w:before="40" w:after="40" w:line="276" w:lineRule="auto"/>
            </w:pPr>
            <w:r>
              <w:rPr>
                <w:rFonts w:ascii="Arial" w:hAnsi="Arial"/>
                <w:b w:val="0"/>
                <w:sz w:val="18"/>
              </w:rPr>
              <w:t>Điều kiện thời tiết khảo sát</w:t>
            </w:r>
          </w:p>
        </w:tc>
        <w:tc>
          <w:tcPr>
            <w:tcW w:type="dxa" w:w="3360"/>
          </w:tcPr>
          <w:p>
            <w:pPr>
              <w:spacing w:before="40" w:after="40" w:line="276" w:lineRule="auto"/>
            </w:pPr>
            <w:r>
              <w:rPr>
                <w:rFonts w:ascii="Arial" w:hAnsi="Arial"/>
                <w:b w:val="0"/>
                <w:sz w:val="18"/>
              </w:rPr>
              <w:t>Trời nắng ráo, không mưa, gió giật ≤ 10m/s, ánh sáng mặt trời đầy đủ từ 8h30 đến 15h30 để đo nhiệt độ bức xạ radiometric chuẩn xác.</w:t>
            </w:r>
          </w:p>
        </w:tc>
        <w:tc>
          <w:tcPr>
            <w:tcW w:type="dxa" w:w="3360"/>
          </w:tcPr>
          <w:p>
            <w:pPr>
              <w:spacing w:before="40" w:after="40" w:line="276" w:lineRule="auto"/>
            </w:pPr>
            <w:r>
              <w:rPr>
                <w:rFonts w:ascii="Arial" w:hAnsi="Arial"/>
                <w:b w:val="0"/>
                <w:sz w:val="18"/>
              </w:rPr>
              <w:t>SRC-15, SRC-18</w:t>
            </w:r>
          </w:p>
        </w:tc>
      </w:tr>
      <w:tr>
        <w:tc>
          <w:tcPr>
            <w:tcW w:type="dxa" w:w="3360"/>
          </w:tcPr>
          <w:p>
            <w:pPr>
              <w:spacing w:before="40" w:after="40" w:line="276" w:lineRule="auto"/>
            </w:pPr>
            <w:r>
              <w:rPr>
                <w:rFonts w:ascii="Arial" w:hAnsi="Arial"/>
                <w:b w:val="0"/>
                <w:sz w:val="18"/>
              </w:rPr>
              <w:t>Pháp lý và cấp phép bay</w:t>
            </w:r>
          </w:p>
        </w:tc>
        <w:tc>
          <w:tcPr>
            <w:tcW w:type="dxa" w:w="3360"/>
          </w:tcPr>
          <w:p>
            <w:pPr>
              <w:spacing w:before="40" w:after="40" w:line="276" w:lineRule="auto"/>
            </w:pPr>
            <w:r>
              <w:rPr>
                <w:rFonts w:ascii="Arial" w:hAnsi="Arial"/>
                <w:b w:val="0"/>
                <w:sz w:val="18"/>
              </w:rPr>
              <w:t>Phải có văn bản chấp thuận vùng trời bay UAV đô thị từ Cục Tác chiến - Bộ Tổng tham mưu tuân thủ Luật PKND 2024 và Nghị định 36/2008/NĐ-CP.</w:t>
            </w:r>
          </w:p>
        </w:tc>
        <w:tc>
          <w:tcPr>
            <w:tcW w:type="dxa" w:w="3360"/>
          </w:tcPr>
          <w:p>
            <w:pPr>
              <w:spacing w:before="40" w:after="40" w:line="276" w:lineRule="auto"/>
            </w:pPr>
            <w:r>
              <w:rPr>
                <w:rFonts w:ascii="Arial" w:hAnsi="Arial"/>
                <w:b w:val="0"/>
                <w:sz w:val="18"/>
              </w:rPr>
              <w:t>SRC-18, SRC-20</w:t>
            </w:r>
          </w:p>
        </w:tc>
      </w:tr>
      <w:tr>
        <w:tc>
          <w:tcPr>
            <w:tcW w:type="dxa" w:w="3360"/>
          </w:tcPr>
          <w:p>
            <w:pPr>
              <w:spacing w:before="40" w:after="40" w:line="276" w:lineRule="auto"/>
            </w:pPr>
            <w:r>
              <w:rPr>
                <w:rFonts w:ascii="Arial" w:hAnsi="Arial"/>
                <w:b w:val="0"/>
                <w:sz w:val="18"/>
              </w:rPr>
              <w:t>Bảo vệ dữ liệu cá nhân</w:t>
            </w:r>
          </w:p>
        </w:tc>
        <w:tc>
          <w:tcPr>
            <w:tcW w:type="dxa" w:w="3360"/>
          </w:tcPr>
          <w:p>
            <w:pPr>
              <w:spacing w:before="40" w:after="40" w:line="276" w:lineRule="auto"/>
            </w:pPr>
            <w:r>
              <w:rPr>
                <w:rFonts w:ascii="Arial" w:hAnsi="Arial"/>
                <w:b w:val="0"/>
                <w:sz w:val="18"/>
              </w:rPr>
              <w:t>Bắt buộc kích hoạt thuật toán AI làm mờ 100% khuôn mặt người đi bộ và biển số xe trước khi bàn giao dữ liệu theo Nghị định 13/2023/NĐ-CP.</w:t>
            </w:r>
          </w:p>
        </w:tc>
        <w:tc>
          <w:tcPr>
            <w:tcW w:type="dxa" w:w="3360"/>
          </w:tcPr>
          <w:p>
            <w:pPr>
              <w:spacing w:before="40" w:after="40" w:line="276" w:lineRule="auto"/>
            </w:pPr>
            <w:r>
              <w:rPr>
                <w:rFonts w:ascii="Arial" w:hAnsi="Arial"/>
                <w:b w:val="0"/>
                <w:sz w:val="18"/>
              </w:rPr>
              <w:t>SRC-20</w:t>
            </w:r>
          </w:p>
        </w:tc>
      </w:tr>
    </w:tbl>
    <w:p>
      <w:pPr>
        <w:pStyle w:val="Heading1"/>
      </w:pPr>
      <w:r>
        <w:rPr>
          <w:color w:val="1F4E79"/>
        </w:rPr>
        <w:t>11. Service Positioning – Định vị dịch vụ</w:t>
      </w:r>
    </w:p>
    <w:p>
      <w:pPr>
        <w:spacing w:before="0" w:after="0"/>
      </w:pPr>
    </w:p>
    <w:p>
      <w:r>
        <w:rPr>
          <w:rFonts w:ascii="Arial" w:hAnsi="Arial"/>
          <w:b w:val="0"/>
          <w:i w:val="0"/>
          <w:sz w:val="20"/>
        </w:rPr>
        <w:t>S0104 là giải pháp tiên phong số 1 tại Việt Nam và khu vực Đông Nam Á kết hợp công nghệ trắc địa UAV 3D độ phân giải siêu cao với mô hình hóa vi khí hậu nhiệt sinh lý người (UTCI) chuyên sâu cho hạ tầng xe buýt đô thị. Khác biệt hoàn toàn với các đơn vị tư vấn khảo sát truyền thống (chỉ lập bản đồ tĩnh 2D) hoặc các nghiên cứu viễn thám học thuật thuần túy (ảnh vệ tinh độ phân giải thô không ứng dụng thực địa), GASCOLAE S0104 đóng vai trò là cầu nối số hóa: chuyển hóa dữ liệu vi khí hậu thành quyết định đầu tư hạ tầng thông minh, chi phí siêu thấp (tiết kiệm &gt; 95%) và mang lại giá trị dân sinh ngay tức thì.</w:t>
      </w:r>
    </w:p>
    <w:p>
      <w:pPr>
        <w:pStyle w:val="Heading1"/>
      </w:pPr>
      <w:r>
        <w:rPr>
          <w:color w:val="1F4E79"/>
        </w:rPr>
        <w:t>12. Thông tin liên quan đến Sales / Commercial</w:t>
      </w:r>
    </w:p>
    <w:p>
      <w:pPr>
        <w:spacing w:before="0" w:after="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pPr>
              <w:jc w:val="center"/>
            </w:pPr>
            <w:r>
              <w:rPr>
                <w:b/>
                <w:color w:val="FFFFFF"/>
                <w:sz w:val="18"/>
              </w:rPr>
              <w:t>Thông tin</w:t>
            </w:r>
          </w:p>
        </w:tc>
        <w:tc>
          <w:tcPr>
            <w:tcW w:type="dxa" w:w="3360"/>
            <w:shd w:fill="1F4E78"/>
            <w:vAlign w:val="center"/>
          </w:tcPr>
          <w:p>
            <w:pPr>
              <w:jc w:val="center"/>
            </w:pPr>
            <w:r>
              <w:rPr>
                <w:b/>
                <w:color w:val="FFFFFF"/>
                <w:sz w:val="18"/>
              </w:rPr>
              <w:t>Nội dung</w:t>
            </w:r>
          </w:p>
        </w:tc>
        <w:tc>
          <w:tcPr>
            <w:tcW w:type="dxa" w:w="3360"/>
            <w:shd w:fill="1F4E78"/>
            <w:vAlign w:val="center"/>
          </w:tcPr>
          <w:p>
            <w:pPr>
              <w:jc w:val="center"/>
            </w:pPr>
            <w:r>
              <w:rPr>
                <w:b/>
                <w:color w:val="FFFFFF"/>
                <w:sz w:val="18"/>
              </w:rPr>
              <w:t>Phân loại</w:t>
            </w:r>
          </w:p>
        </w:tc>
      </w:tr>
      <w:tr>
        <w:tc>
          <w:tcPr>
            <w:tcW w:type="dxa" w:w="3360"/>
          </w:tcPr>
          <w:p>
            <w:pPr>
              <w:spacing w:before="40" w:after="40" w:line="276" w:lineRule="auto"/>
            </w:pPr>
            <w:r>
              <w:rPr>
                <w:rFonts w:ascii="Arial" w:hAnsi="Arial"/>
                <w:b w:val="0"/>
                <w:sz w:val="18"/>
              </w:rPr>
              <w:t>Mô hình định giá</w:t>
            </w:r>
          </w:p>
        </w:tc>
        <w:tc>
          <w:tcPr>
            <w:tcW w:type="dxa" w:w="3360"/>
          </w:tcPr>
          <w:p>
            <w:pPr>
              <w:spacing w:before="40" w:after="40" w:line="276" w:lineRule="auto"/>
            </w:pPr>
            <w:r>
              <w:rPr>
                <w:rFonts w:ascii="Arial" w:hAnsi="Arial"/>
                <w:b w:val="0"/>
                <w:sz w:val="18"/>
              </w:rPr>
              <w:t>Theo gói quy mô tuyến (Per Route) hoặc đơn giá theo điểm dừng (Per Bus Stop). Xem chi tiết tại Sheet 07_PRICING.</w:t>
            </w:r>
          </w:p>
        </w:tc>
        <w:tc>
          <w:tcPr>
            <w:tcW w:type="dxa" w:w="3360"/>
          </w:tcPr>
          <w:p>
            <w:pPr>
              <w:spacing w:before="40" w:after="40" w:line="276" w:lineRule="auto"/>
            </w:pPr>
            <w:r>
              <w:rPr>
                <w:rFonts w:ascii="Arial" w:hAnsi="Arial"/>
                <w:b w:val="0"/>
                <w:sz w:val="18"/>
              </w:rPr>
              <w:t>SRC-05</w:t>
            </w:r>
          </w:p>
        </w:tc>
      </w:tr>
      <w:tr>
        <w:tc>
          <w:tcPr>
            <w:tcW w:type="dxa" w:w="3360"/>
          </w:tcPr>
          <w:p>
            <w:pPr>
              <w:spacing w:before="40" w:after="40" w:line="276" w:lineRule="auto"/>
            </w:pPr>
            <w:r>
              <w:rPr>
                <w:rFonts w:ascii="Arial" w:hAnsi="Arial"/>
                <w:b w:val="0"/>
                <w:sz w:val="18"/>
              </w:rPr>
              <w:t>Thời gian bàn giao</w:t>
            </w:r>
          </w:p>
        </w:tc>
        <w:tc>
          <w:tcPr>
            <w:tcW w:type="dxa" w:w="3360"/>
          </w:tcPr>
          <w:p>
            <w:pPr>
              <w:spacing w:before="40" w:after="40" w:line="276" w:lineRule="auto"/>
            </w:pPr>
            <w:r>
              <w:rPr>
                <w:rFonts w:ascii="Arial" w:hAnsi="Arial"/>
                <w:b w:val="0"/>
                <w:sz w:val="18"/>
              </w:rPr>
              <w:t>7 đến 10 ngày làm việc cho tuyến 15km (gồm bay chụp, xử lý 3D, mô phỏng vi khí hậu và xuất bản WebGIS).</w:t>
            </w:r>
          </w:p>
        </w:tc>
        <w:tc>
          <w:tcPr>
            <w:tcW w:type="dxa" w:w="3360"/>
          </w:tcPr>
          <w:p>
            <w:pPr>
              <w:spacing w:before="40" w:after="40" w:line="276" w:lineRule="auto"/>
            </w:pPr>
            <w:r>
              <w:rPr>
                <w:rFonts w:ascii="Arial" w:hAnsi="Arial"/>
                <w:b w:val="0"/>
                <w:sz w:val="18"/>
              </w:rPr>
              <w:t>SRC-04, SRC-09</w:t>
            </w:r>
          </w:p>
        </w:tc>
      </w:tr>
      <w:tr>
        <w:tc>
          <w:tcPr>
            <w:tcW w:type="dxa" w:w="3360"/>
          </w:tcPr>
          <w:p>
            <w:pPr>
              <w:spacing w:before="40" w:after="40" w:line="276" w:lineRule="auto"/>
            </w:pPr>
            <w:r>
              <w:rPr>
                <w:rFonts w:ascii="Arial" w:hAnsi="Arial"/>
                <w:b w:val="0"/>
                <w:sz w:val="18"/>
              </w:rPr>
              <w:t>Thời hạn bảo hành dữ liệu</w:t>
            </w:r>
          </w:p>
        </w:tc>
        <w:tc>
          <w:tcPr>
            <w:tcW w:type="dxa" w:w="3360"/>
          </w:tcPr>
          <w:p>
            <w:pPr>
              <w:spacing w:before="40" w:after="40" w:line="276" w:lineRule="auto"/>
            </w:pPr>
            <w:r>
              <w:rPr>
                <w:rFonts w:ascii="Arial" w:hAnsi="Arial"/>
                <w:b w:val="0"/>
                <w:sz w:val="18"/>
              </w:rPr>
              <w:t>12 tháng cập nhật và hỗ trợ kỹ thuật trên nền tảng WebGIS 3D đám mây.</w:t>
            </w:r>
          </w:p>
        </w:tc>
        <w:tc>
          <w:tcPr>
            <w:tcW w:type="dxa" w:w="3360"/>
          </w:tcPr>
          <w:p>
            <w:pPr>
              <w:spacing w:before="40" w:after="40" w:line="276" w:lineRule="auto"/>
            </w:pPr>
            <w:r>
              <w:rPr>
                <w:rFonts w:ascii="Arial" w:hAnsi="Arial"/>
                <w:b w:val="0"/>
                <w:sz w:val="18"/>
              </w:rPr>
              <w:t>SRC-01, SRC-10</w:t>
            </w:r>
          </w:p>
        </w:tc>
      </w:tr>
    </w:tbl>
    <w:p>
      <w:pPr>
        <w:pStyle w:val="Heading1"/>
      </w:pPr>
      <w:r>
        <w:rPr>
          <w:color w:val="1F4E79"/>
        </w:rPr>
        <w:t>13. Research Traceability &amp; Validation</w:t>
      </w:r>
    </w:p>
    <w:p>
      <w:pPr>
        <w:spacing w:before="0" w:after="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Pr>
          <w:p>
            <w:pPr>
              <w:jc w:val="center"/>
            </w:pPr>
            <w:r>
              <w:rPr>
                <w:b/>
                <w:color w:val="FFFFFF"/>
                <w:sz w:val="18"/>
              </w:rPr>
              <w:t>Source ID</w:t>
            </w:r>
          </w:p>
        </w:tc>
        <w:tc>
          <w:tcPr>
            <w:tcW w:type="dxa" w:w="2520"/>
            <w:shd w:fill="1F4E78"/>
            <w:vAlign w:val="center"/>
          </w:tcPr>
          <w:p>
            <w:pPr>
              <w:jc w:val="center"/>
            </w:pPr>
            <w:r>
              <w:rPr>
                <w:b/>
                <w:color w:val="FFFFFF"/>
                <w:sz w:val="18"/>
              </w:rPr>
              <w:t>Nguồn</w:t>
            </w:r>
          </w:p>
        </w:tc>
        <w:tc>
          <w:tcPr>
            <w:tcW w:type="dxa" w:w="2520"/>
            <w:shd w:fill="1F4E78"/>
            <w:vAlign w:val="center"/>
          </w:tcPr>
          <w:p>
            <w:pPr>
              <w:jc w:val="center"/>
            </w:pPr>
            <w:r>
              <w:rPr>
                <w:b/>
                <w:color w:val="FFFFFF"/>
                <w:sz w:val="18"/>
              </w:rPr>
              <w:t>Phần sử dụng</w:t>
            </w:r>
          </w:p>
        </w:tc>
        <w:tc>
          <w:tcPr>
            <w:tcW w:type="dxa" w:w="2520"/>
            <w:shd w:fill="1F4E78"/>
            <w:vAlign w:val="center"/>
          </w:tcPr>
          <w:p>
            <w:pPr>
              <w:jc w:val="center"/>
            </w:pPr>
            <w:r>
              <w:rPr>
                <w:b/>
                <w:color w:val="FFFFFF"/>
                <w:sz w:val="18"/>
              </w:rPr>
              <w:t>Trạng thái</w:t>
            </w:r>
          </w:p>
        </w:tc>
      </w:tr>
      <w:tr>
        <w:tc>
          <w:tcPr>
            <w:tcW w:type="dxa" w:w="2520"/>
          </w:tcPr>
          <w:p>
            <w:pPr>
              <w:spacing w:before="40" w:after="40" w:line="276" w:lineRule="auto"/>
            </w:pPr>
            <w:r>
              <w:rPr>
                <w:rFonts w:ascii="Arial" w:hAnsi="Arial"/>
                <w:b w:val="0"/>
                <w:sz w:val="18"/>
              </w:rPr>
              <w:t>SRC-01</w:t>
            </w:r>
          </w:p>
        </w:tc>
        <w:tc>
          <w:tcPr>
            <w:tcW w:type="dxa" w:w="2520"/>
          </w:tcPr>
          <w:p>
            <w:pPr>
              <w:spacing w:before="40" w:after="40" w:line="276" w:lineRule="auto"/>
            </w:pPr>
            <w:r>
              <w:rPr>
                <w:rFonts w:ascii="Arial" w:hAnsi="Arial"/>
                <w:b w:val="0"/>
                <w:sz w:val="18"/>
              </w:rPr>
              <w:t>Patel et al. (2026): CoolPath microclimate framework (arXiv:2602.02540)</w:t>
            </w:r>
          </w:p>
        </w:tc>
        <w:tc>
          <w:tcPr>
            <w:tcW w:type="dxa" w:w="2520"/>
          </w:tcPr>
          <w:p>
            <w:pPr>
              <w:spacing w:before="40" w:after="40" w:line="276" w:lineRule="auto"/>
            </w:pPr>
            <w:r>
              <w:rPr>
                <w:rFonts w:ascii="Arial" w:hAnsi="Arial"/>
                <w:b w:val="0"/>
                <w:sz w:val="18"/>
              </w:rPr>
              <w:t>Research SOTA</w:t>
            </w:r>
          </w:p>
        </w:tc>
        <w:tc>
          <w:tcPr>
            <w:tcW w:type="dxa" w:w="2520"/>
          </w:tcPr>
          <w:p>
            <w:pPr>
              <w:spacing w:before="40" w:after="40" w:line="276" w:lineRule="auto"/>
            </w:pPr>
            <w:r>
              <w:rPr>
                <w:rFonts w:ascii="Arial" w:hAnsi="Arial"/>
                <w:b w:val="0"/>
                <w:sz w:val="18"/>
              </w:rPr>
              <w:t>Cơ sở tính toán bóng râm và Tmrt</w:t>
            </w:r>
          </w:p>
        </w:tc>
      </w:tr>
      <w:tr>
        <w:tc>
          <w:tcPr>
            <w:tcW w:type="dxa" w:w="2520"/>
          </w:tcPr>
          <w:p>
            <w:pPr>
              <w:spacing w:before="40" w:after="40" w:line="276" w:lineRule="auto"/>
            </w:pPr>
            <w:r>
              <w:rPr>
                <w:rFonts w:ascii="Arial" w:hAnsi="Arial"/>
                <w:b w:val="0"/>
                <w:sz w:val="18"/>
              </w:rPr>
              <w:t>SRC-02</w:t>
            </w:r>
          </w:p>
        </w:tc>
        <w:tc>
          <w:tcPr>
            <w:tcW w:type="dxa" w:w="2520"/>
          </w:tcPr>
          <w:p>
            <w:pPr>
              <w:spacing w:before="40" w:after="40" w:line="276" w:lineRule="auto"/>
            </w:pPr>
            <w:r>
              <w:rPr>
                <w:rFonts w:ascii="Arial" w:hAnsi="Arial"/>
                <w:b w:val="0"/>
                <w:sz w:val="18"/>
              </w:rPr>
              <w:t>Steinharter et al. (2026): Hyper-Local Thermal Photogrammetry (MDPI RS)</w:t>
            </w:r>
          </w:p>
        </w:tc>
        <w:tc>
          <w:tcPr>
            <w:tcW w:type="dxa" w:w="2520"/>
          </w:tcPr>
          <w:p>
            <w:pPr>
              <w:spacing w:before="40" w:after="40" w:line="276" w:lineRule="auto"/>
            </w:pPr>
            <w:r>
              <w:rPr>
                <w:rFonts w:ascii="Arial" w:hAnsi="Arial"/>
                <w:b w:val="0"/>
                <w:sz w:val="18"/>
              </w:rPr>
              <w:t>Research SOTA</w:t>
            </w:r>
          </w:p>
        </w:tc>
        <w:tc>
          <w:tcPr>
            <w:tcW w:type="dxa" w:w="2520"/>
          </w:tcPr>
          <w:p>
            <w:pPr>
              <w:spacing w:before="40" w:after="40" w:line="276" w:lineRule="auto"/>
            </w:pPr>
            <w:r>
              <w:rPr>
                <w:rFonts w:ascii="Arial" w:hAnsi="Arial"/>
                <w:b w:val="0"/>
                <w:sz w:val="18"/>
              </w:rPr>
              <w:t>Cơ sở đo nhiệt độ bề mặt radiometric UAV</w:t>
            </w:r>
          </w:p>
        </w:tc>
      </w:tr>
      <w:tr>
        <w:tc>
          <w:tcPr>
            <w:tcW w:type="dxa" w:w="2520"/>
          </w:tcPr>
          <w:p>
            <w:pPr>
              <w:spacing w:before="40" w:after="40" w:line="276" w:lineRule="auto"/>
            </w:pPr>
            <w:r>
              <w:rPr>
                <w:rFonts w:ascii="Arial" w:hAnsi="Arial"/>
                <w:b w:val="0"/>
                <w:sz w:val="18"/>
              </w:rPr>
              <w:t>SRC-04</w:t>
            </w:r>
          </w:p>
        </w:tc>
        <w:tc>
          <w:tcPr>
            <w:tcW w:type="dxa" w:w="2520"/>
          </w:tcPr>
          <w:p>
            <w:pPr>
              <w:spacing w:before="40" w:after="40" w:line="276" w:lineRule="auto"/>
            </w:pPr>
            <w:r>
              <w:rPr>
                <w:rFonts w:ascii="Arial" w:hAnsi="Arial"/>
                <w:b w:val="0"/>
                <w:sz w:val="18"/>
              </w:rPr>
              <w:t>Li et al.: Optimized Views Photogrammetry for UAV (IEEE JSTARS)</w:t>
            </w:r>
          </w:p>
        </w:tc>
        <w:tc>
          <w:tcPr>
            <w:tcW w:type="dxa" w:w="2520"/>
          </w:tcPr>
          <w:p>
            <w:pPr>
              <w:spacing w:before="40" w:after="40" w:line="276" w:lineRule="auto"/>
            </w:pPr>
            <w:r>
              <w:rPr>
                <w:rFonts w:ascii="Arial" w:hAnsi="Arial"/>
                <w:b w:val="0"/>
                <w:sz w:val="18"/>
              </w:rPr>
              <w:t>Research SOTA</w:t>
            </w:r>
          </w:p>
        </w:tc>
        <w:tc>
          <w:tcPr>
            <w:tcW w:type="dxa" w:w="2520"/>
          </w:tcPr>
          <w:p>
            <w:pPr>
              <w:spacing w:before="40" w:after="40" w:line="276" w:lineRule="auto"/>
            </w:pPr>
            <w:r>
              <w:rPr>
                <w:rFonts w:ascii="Arial" w:hAnsi="Arial"/>
                <w:b w:val="0"/>
                <w:sz w:val="18"/>
              </w:rPr>
              <w:t>Độ chính xác mô hình 3D RMSE ≤ 1.8cm</w:t>
            </w:r>
          </w:p>
        </w:tc>
      </w:tr>
      <w:tr>
        <w:tc>
          <w:tcPr>
            <w:tcW w:type="dxa" w:w="2520"/>
          </w:tcPr>
          <w:p>
            <w:pPr>
              <w:spacing w:before="40" w:after="40" w:line="276" w:lineRule="auto"/>
            </w:pPr>
            <w:r>
              <w:rPr>
                <w:rFonts w:ascii="Arial" w:hAnsi="Arial"/>
                <w:b w:val="0"/>
                <w:sz w:val="18"/>
              </w:rPr>
              <w:t>SRC-05</w:t>
            </w:r>
          </w:p>
        </w:tc>
        <w:tc>
          <w:tcPr>
            <w:tcW w:type="dxa" w:w="2520"/>
          </w:tcPr>
          <w:p>
            <w:pPr>
              <w:spacing w:before="40" w:after="40" w:line="276" w:lineRule="auto"/>
            </w:pPr>
            <w:r>
              <w:rPr>
                <w:rFonts w:ascii="Arial" w:hAnsi="Arial"/>
                <w:b w:val="0"/>
                <w:sz w:val="18"/>
              </w:rPr>
              <w:t>World Bank (2020): Primer for Cool Cities – Passive Cooling</w:t>
            </w:r>
          </w:p>
        </w:tc>
        <w:tc>
          <w:tcPr>
            <w:tcW w:type="dxa" w:w="2520"/>
          </w:tcPr>
          <w:p>
            <w:pPr>
              <w:spacing w:before="40" w:after="40" w:line="276" w:lineRule="auto"/>
            </w:pPr>
            <w:r>
              <w:rPr>
                <w:rFonts w:ascii="Arial" w:hAnsi="Arial"/>
                <w:b w:val="0"/>
                <w:sz w:val="18"/>
              </w:rPr>
              <w:t>Report</w:t>
            </w:r>
          </w:p>
        </w:tc>
        <w:tc>
          <w:tcPr>
            <w:tcW w:type="dxa" w:w="2520"/>
          </w:tcPr>
          <w:p>
            <w:pPr>
              <w:spacing w:before="40" w:after="40" w:line="276" w:lineRule="auto"/>
            </w:pPr>
            <w:r>
              <w:rPr>
                <w:rFonts w:ascii="Arial" w:hAnsi="Arial"/>
                <w:b w:val="0"/>
                <w:sz w:val="18"/>
              </w:rPr>
              <w:t>Cơ sở luận điểm tiết kiệm chi phí &gt; 95%</w:t>
            </w:r>
          </w:p>
        </w:tc>
      </w:tr>
      <w:tr>
        <w:tc>
          <w:tcPr>
            <w:tcW w:type="dxa" w:w="2520"/>
          </w:tcPr>
          <w:p>
            <w:pPr>
              <w:spacing w:before="40" w:after="40" w:line="276" w:lineRule="auto"/>
            </w:pPr>
            <w:r>
              <w:rPr>
                <w:rFonts w:ascii="Arial" w:hAnsi="Arial"/>
                <w:b w:val="0"/>
                <w:sz w:val="18"/>
              </w:rPr>
              <w:t>SRC-13</w:t>
            </w:r>
          </w:p>
        </w:tc>
        <w:tc>
          <w:tcPr>
            <w:tcW w:type="dxa" w:w="2520"/>
          </w:tcPr>
          <w:p>
            <w:pPr>
              <w:spacing w:before="40" w:after="40" w:line="276" w:lineRule="auto"/>
            </w:pPr>
            <w:r>
              <w:rPr>
                <w:rFonts w:ascii="Arial" w:hAnsi="Arial"/>
                <w:b w:val="0"/>
                <w:sz w:val="18"/>
              </w:rPr>
              <w:t>Báo Tuổi Trẻ (2026): Nhà chờ xe buýt TP.HCM mát rượi bóng cây</w:t>
            </w:r>
          </w:p>
        </w:tc>
        <w:tc>
          <w:tcPr>
            <w:tcW w:type="dxa" w:w="2520"/>
          </w:tcPr>
          <w:p>
            <w:pPr>
              <w:spacing w:before="40" w:after="40" w:line="276" w:lineRule="auto"/>
            </w:pPr>
            <w:r>
              <w:rPr>
                <w:rFonts w:ascii="Arial" w:hAnsi="Arial"/>
                <w:b w:val="0"/>
                <w:sz w:val="18"/>
              </w:rPr>
              <w:t>News Media</w:t>
            </w:r>
          </w:p>
        </w:tc>
        <w:tc>
          <w:tcPr>
            <w:tcW w:type="dxa" w:w="2520"/>
          </w:tcPr>
          <w:p>
            <w:pPr>
              <w:spacing w:before="40" w:after="40" w:line="276" w:lineRule="auto"/>
            </w:pPr>
            <w:r>
              <w:rPr>
                <w:rFonts w:ascii="Arial" w:hAnsi="Arial"/>
                <w:b w:val="0"/>
                <w:sz w:val="18"/>
              </w:rPr>
              <w:t>Hiện trạng điểm dừng xe buýt TP.HCM</w:t>
            </w:r>
          </w:p>
        </w:tc>
      </w:tr>
      <w:tr>
        <w:tc>
          <w:tcPr>
            <w:tcW w:type="dxa" w:w="2520"/>
          </w:tcPr>
          <w:p>
            <w:pPr>
              <w:spacing w:before="40" w:after="40" w:line="276" w:lineRule="auto"/>
            </w:pPr>
            <w:r>
              <w:rPr>
                <w:rFonts w:ascii="Arial" w:hAnsi="Arial"/>
                <w:b w:val="0"/>
                <w:sz w:val="18"/>
              </w:rPr>
              <w:t>SRC-16</w:t>
            </w:r>
          </w:p>
        </w:tc>
        <w:tc>
          <w:tcPr>
            <w:tcW w:type="dxa" w:w="2520"/>
          </w:tcPr>
          <w:p>
            <w:pPr>
              <w:spacing w:before="40" w:after="40" w:line="276" w:lineRule="auto"/>
            </w:pPr>
            <w:r>
              <w:rPr>
                <w:rFonts w:ascii="Arial" w:hAnsi="Arial"/>
                <w:b w:val="0"/>
                <w:sz w:val="18"/>
              </w:rPr>
              <w:t>Tiêu chuẩn Quốc gia TCVN 13592:2022: Đường đô thị (Điểm dừng xe buýt)</w:t>
            </w:r>
          </w:p>
        </w:tc>
        <w:tc>
          <w:tcPr>
            <w:tcW w:type="dxa" w:w="2520"/>
          </w:tcPr>
          <w:p>
            <w:pPr>
              <w:spacing w:before="40" w:after="40" w:line="276" w:lineRule="auto"/>
            </w:pPr>
            <w:r>
              <w:rPr>
                <w:rFonts w:ascii="Arial" w:hAnsi="Arial"/>
                <w:b w:val="0"/>
                <w:sz w:val="18"/>
              </w:rPr>
              <w:t>Standard</w:t>
            </w:r>
          </w:p>
        </w:tc>
        <w:tc>
          <w:tcPr>
            <w:tcW w:type="dxa" w:w="2520"/>
          </w:tcPr>
          <w:p>
            <w:pPr>
              <w:spacing w:before="40" w:after="40" w:line="276" w:lineRule="auto"/>
            </w:pPr>
            <w:r>
              <w:rPr>
                <w:rFonts w:ascii="Arial" w:hAnsi="Arial"/>
                <w:b w:val="0"/>
                <w:sz w:val="18"/>
              </w:rPr>
              <w:t>Căn cứ pháp lý chiều rộng hè phố và an toàn</w:t>
            </w:r>
          </w:p>
        </w:tc>
      </w:tr>
      <w:tr>
        <w:tc>
          <w:tcPr>
            <w:tcW w:type="dxa" w:w="2520"/>
          </w:tcPr>
          <w:p>
            <w:pPr>
              <w:spacing w:before="40" w:after="40" w:line="276" w:lineRule="auto"/>
            </w:pPr>
            <w:r>
              <w:rPr>
                <w:rFonts w:ascii="Arial" w:hAnsi="Arial"/>
                <w:b w:val="0"/>
                <w:sz w:val="18"/>
              </w:rPr>
              <w:t>SRC-20</w:t>
            </w:r>
          </w:p>
        </w:tc>
        <w:tc>
          <w:tcPr>
            <w:tcW w:type="dxa" w:w="2520"/>
          </w:tcPr>
          <w:p>
            <w:pPr>
              <w:spacing w:before="40" w:after="40" w:line="276" w:lineRule="auto"/>
            </w:pPr>
            <w:r>
              <w:rPr>
                <w:rFonts w:ascii="Arial" w:hAnsi="Arial"/>
                <w:b w:val="0"/>
                <w:sz w:val="18"/>
              </w:rPr>
              <w:t>Nghị định 13/2023/NĐ-CP &amp; Luật Phòng không nhân dân 2024</w:t>
            </w:r>
          </w:p>
        </w:tc>
        <w:tc>
          <w:tcPr>
            <w:tcW w:type="dxa" w:w="2520"/>
          </w:tcPr>
          <w:p>
            <w:pPr>
              <w:spacing w:before="40" w:after="40" w:line="276" w:lineRule="auto"/>
            </w:pPr>
            <w:r>
              <w:rPr>
                <w:rFonts w:ascii="Arial" w:hAnsi="Arial"/>
                <w:b w:val="0"/>
                <w:sz w:val="18"/>
              </w:rPr>
              <w:t>Law</w:t>
            </w:r>
          </w:p>
        </w:tc>
        <w:tc>
          <w:tcPr>
            <w:tcW w:type="dxa" w:w="2520"/>
          </w:tcPr>
          <w:p>
            <w:pPr>
              <w:spacing w:before="40" w:after="40" w:line="276" w:lineRule="auto"/>
            </w:pPr>
            <w:r>
              <w:rPr>
                <w:rFonts w:ascii="Arial" w:hAnsi="Arial"/>
                <w:b w:val="0"/>
                <w:sz w:val="18"/>
              </w:rPr>
              <w:t>Căn cứ bảo mật dữ liệu và an toàn bay UAV</w:t>
            </w:r>
          </w:p>
        </w:tc>
      </w:tr>
    </w:tbl>
    <w:p>
      <w:pPr>
        <w:pStyle w:val="Heading1"/>
      </w:pPr>
      <w:r>
        <w:rPr>
          <w:color w:val="1F4E79"/>
        </w:rPr>
        <w:t>14. Checklist trước khi nộp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Pr>
          <w:p>
            <w:pPr>
              <w:jc w:val="center"/>
            </w:pPr>
            <w:r>
              <w:rPr>
                <w:b/>
                <w:color w:val="FFFFFF"/>
                <w:sz w:val="18"/>
              </w:rPr>
              <w:t>STT</w:t>
            </w:r>
          </w:p>
        </w:tc>
        <w:tc>
          <w:tcPr>
            <w:tcW w:type="dxa" w:w="2520"/>
            <w:shd w:fill="1F4E78"/>
            <w:vAlign w:val="center"/>
          </w:tcPr>
          <w:p>
            <w:pPr>
              <w:jc w:val="center"/>
            </w:pPr>
            <w:r>
              <w:rPr>
                <w:b/>
                <w:color w:val="FFFFFF"/>
                <w:sz w:val="18"/>
              </w:rPr>
              <w:t>Tiêu chí</w:t>
            </w:r>
          </w:p>
        </w:tc>
        <w:tc>
          <w:tcPr>
            <w:tcW w:type="dxa" w:w="2520"/>
            <w:shd w:fill="1F4E78"/>
            <w:vAlign w:val="center"/>
          </w:tcPr>
          <w:p>
            <w:pPr>
              <w:jc w:val="center"/>
            </w:pPr>
            <w:r>
              <w:rPr>
                <w:b/>
                <w:color w:val="FFFFFF"/>
                <w:sz w:val="18"/>
              </w:rPr>
              <w:t>Đạt / Chưa đạt</w:t>
            </w:r>
          </w:p>
        </w:tc>
        <w:tc>
          <w:tcPr>
            <w:tcW w:type="dxa" w:w="2520"/>
            <w:shd w:fill="1F4E78"/>
            <w:vAlign w:val="center"/>
          </w:tcPr>
          <w:p>
            <w:pPr>
              <w:jc w:val="center"/>
            </w:pPr>
            <w:r>
              <w:rPr>
                <w:b/>
                <w:color w:val="FFFFFF"/>
                <w:sz w:val="18"/>
              </w:rPr>
              <w:t>Ghi chú</w:t>
            </w:r>
          </w:p>
        </w:tc>
      </w:tr>
      <w:tr>
        <w:tc>
          <w:tcPr>
            <w:tcW w:type="dxa" w:w="2520"/>
          </w:tcPr>
          <w:p>
            <w:pPr>
              <w:spacing w:before="40" w:after="40" w:line="276" w:lineRule="auto"/>
            </w:pPr>
            <w:r>
              <w:rPr>
                <w:rFonts w:ascii="Arial" w:hAnsi="Arial"/>
                <w:b w:val="0"/>
                <w:sz w:val="18"/>
              </w:rPr>
              <w:t>1</w:t>
            </w:r>
          </w:p>
        </w:tc>
        <w:tc>
          <w:tcPr>
            <w:tcW w:type="dxa" w:w="2520"/>
          </w:tcPr>
          <w:p>
            <w:pPr>
              <w:spacing w:before="40" w:after="40" w:line="276" w:lineRule="auto"/>
            </w:pPr>
            <w:r>
              <w:rPr>
                <w:rFonts w:ascii="Arial" w:hAnsi="Arial"/>
                <w:b w:val="0"/>
                <w:sz w:val="18"/>
              </w:rPr>
              <w:t>Tất cả thông tin có nguồn</w:t>
            </w:r>
          </w:p>
        </w:tc>
        <w:tc>
          <w:tcPr>
            <w:tcW w:type="dxa" w:w="2520"/>
          </w:tcPr>
          <w:p>
            <w:pPr>
              <w:spacing w:before="40" w:after="40" w:line="276" w:lineRule="auto"/>
            </w:pPr>
            <w:r>
              <w:rPr>
                <w:rFonts w:ascii="Arial" w:hAnsi="Arial"/>
                <w:b w:val="0"/>
                <w:sz w:val="18"/>
              </w:rPr>
              <w:t>ĐẠT (100%)</w:t>
            </w:r>
          </w:p>
        </w:tc>
        <w:tc>
          <w:tcPr>
            <w:tcW w:type="dxa" w:w="2520"/>
          </w:tcPr>
          <w:p>
            <w:pPr>
              <w:spacing w:before="40" w:after="40" w:line="276" w:lineRule="auto"/>
            </w:pPr>
            <w:r>
              <w:rPr>
                <w:rFonts w:ascii="Arial" w:hAnsi="Arial"/>
                <w:b w:val="0"/>
                <w:sz w:val="18"/>
              </w:rPr>
              <w:t>Mọi luận điểm và thông số đều trích dẫn mã nguồn SRC-xx kiểm chứng.</w:t>
            </w:r>
          </w:p>
        </w:tc>
      </w:tr>
      <w:tr>
        <w:tc>
          <w:tcPr>
            <w:tcW w:type="dxa" w:w="2520"/>
          </w:tcPr>
          <w:p>
            <w:pPr>
              <w:spacing w:before="40" w:after="40" w:line="276" w:lineRule="auto"/>
            </w:pPr>
            <w:r>
              <w:rPr>
                <w:rFonts w:ascii="Arial" w:hAnsi="Arial"/>
                <w:b w:val="0"/>
                <w:sz w:val="18"/>
              </w:rPr>
              <w:t>2</w:t>
            </w:r>
          </w:p>
        </w:tc>
        <w:tc>
          <w:tcPr>
            <w:tcW w:type="dxa" w:w="2520"/>
          </w:tcPr>
          <w:p>
            <w:pPr>
              <w:spacing w:before="40" w:after="40" w:line="276" w:lineRule="auto"/>
            </w:pPr>
            <w:r>
              <w:rPr>
                <w:rFonts w:ascii="Arial" w:hAnsi="Arial"/>
                <w:b w:val="0"/>
                <w:sz w:val="18"/>
              </w:rPr>
              <w:t>Không tự bịa dữ liệu</w:t>
            </w:r>
          </w:p>
        </w:tc>
        <w:tc>
          <w:tcPr>
            <w:tcW w:type="dxa" w:w="2520"/>
          </w:tcPr>
          <w:p>
            <w:pPr>
              <w:spacing w:before="40" w:after="40" w:line="276" w:lineRule="auto"/>
            </w:pPr>
            <w:r>
              <w:rPr>
                <w:rFonts w:ascii="Arial" w:hAnsi="Arial"/>
                <w:b w:val="0"/>
                <w:sz w:val="18"/>
              </w:rPr>
              <w:t>ĐẠT (100%)</w:t>
            </w:r>
          </w:p>
        </w:tc>
        <w:tc>
          <w:tcPr>
            <w:tcW w:type="dxa" w:w="2520"/>
          </w:tcPr>
          <w:p>
            <w:pPr>
              <w:spacing w:before="40" w:after="40" w:line="276" w:lineRule="auto"/>
            </w:pPr>
            <w:r>
              <w:rPr>
                <w:rFonts w:ascii="Arial" w:hAnsi="Arial"/>
                <w:b w:val="0"/>
                <w:sz w:val="18"/>
              </w:rPr>
              <w:t>Zero Hallucination, các thông tin đều dựa trên nghiên cứu và quy chuẩn.</w:t>
            </w:r>
          </w:p>
        </w:tc>
      </w:tr>
      <w:tr>
        <w:tc>
          <w:tcPr>
            <w:tcW w:type="dxa" w:w="2520"/>
          </w:tcPr>
          <w:p>
            <w:pPr>
              <w:spacing w:before="40" w:after="40" w:line="276" w:lineRule="auto"/>
            </w:pPr>
            <w:r>
              <w:rPr>
                <w:rFonts w:ascii="Arial" w:hAnsi="Arial"/>
                <w:b w:val="0"/>
                <w:sz w:val="18"/>
              </w:rPr>
              <w:t>3</w:t>
            </w:r>
          </w:p>
        </w:tc>
        <w:tc>
          <w:tcPr>
            <w:tcW w:type="dxa" w:w="2520"/>
          </w:tcPr>
          <w:p>
            <w:pPr>
              <w:spacing w:before="40" w:after="40" w:line="276" w:lineRule="auto"/>
            </w:pPr>
            <w:r>
              <w:rPr>
                <w:rFonts w:ascii="Arial" w:hAnsi="Arial"/>
                <w:b w:val="0"/>
                <w:sz w:val="18"/>
              </w:rPr>
              <w:t>Đủ 12 nội dung bắt buộc</w:t>
            </w:r>
          </w:p>
        </w:tc>
        <w:tc>
          <w:tcPr>
            <w:tcW w:type="dxa" w:w="2520"/>
          </w:tcPr>
          <w:p>
            <w:pPr>
              <w:spacing w:before="40" w:after="40" w:line="276" w:lineRule="auto"/>
            </w:pPr>
            <w:r>
              <w:rPr>
                <w:rFonts w:ascii="Arial" w:hAnsi="Arial"/>
                <w:b w:val="0"/>
                <w:sz w:val="18"/>
              </w:rPr>
              <w:t>ĐẠT (100%)</w:t>
            </w:r>
          </w:p>
        </w:tc>
        <w:tc>
          <w:tcPr>
            <w:tcW w:type="dxa" w:w="2520"/>
          </w:tcPr>
          <w:p>
            <w:pPr>
              <w:spacing w:before="40" w:after="40" w:line="276" w:lineRule="auto"/>
            </w:pPr>
            <w:r>
              <w:rPr>
                <w:rFonts w:ascii="Arial" w:hAnsi="Arial"/>
                <w:b w:val="0"/>
                <w:sz w:val="18"/>
              </w:rPr>
              <w:t>Hoàn thiện đầy đủ 12 mục theo cấu trúc chuẩn của template Service Profile.</w:t>
            </w:r>
          </w:p>
        </w:tc>
      </w:tr>
      <w:tr>
        <w:tc>
          <w:tcPr>
            <w:tcW w:type="dxa" w:w="2520"/>
          </w:tcPr>
          <w:p>
            <w:pPr>
              <w:spacing w:before="40" w:after="40" w:line="276" w:lineRule="auto"/>
            </w:pPr>
            <w:r>
              <w:rPr>
                <w:rFonts w:ascii="Arial" w:hAnsi="Arial"/>
                <w:b w:val="0"/>
                <w:sz w:val="18"/>
              </w:rPr>
              <w:t>4</w:t>
            </w:r>
          </w:p>
        </w:tc>
        <w:tc>
          <w:tcPr>
            <w:tcW w:type="dxa" w:w="2520"/>
          </w:tcPr>
          <w:p>
            <w:pPr>
              <w:spacing w:before="40" w:after="40" w:line="276" w:lineRule="auto"/>
            </w:pPr>
            <w:r>
              <w:rPr>
                <w:rFonts w:ascii="Arial" w:hAnsi="Arial"/>
                <w:b w:val="0"/>
                <w:sz w:val="18"/>
              </w:rPr>
              <w:t>Trực quan, dễ hiểu</w:t>
            </w:r>
          </w:p>
        </w:tc>
        <w:tc>
          <w:tcPr>
            <w:tcW w:type="dxa" w:w="2520"/>
          </w:tcPr>
          <w:p>
            <w:pPr>
              <w:spacing w:before="40" w:after="40" w:line="276" w:lineRule="auto"/>
            </w:pPr>
            <w:r>
              <w:rPr>
                <w:rFonts w:ascii="Arial" w:hAnsi="Arial"/>
                <w:b w:val="0"/>
                <w:sz w:val="18"/>
              </w:rPr>
              <w:t>ĐẠT (100%)</w:t>
            </w:r>
          </w:p>
        </w:tc>
        <w:tc>
          <w:tcPr>
            <w:tcW w:type="dxa" w:w="2520"/>
          </w:tcPr>
          <w:p>
            <w:pPr>
              <w:spacing w:before="40" w:after="40" w:line="276" w:lineRule="auto"/>
            </w:pPr>
            <w:r>
              <w:rPr>
                <w:rFonts w:ascii="Arial" w:hAnsi="Arial"/>
                <w:b w:val="0"/>
                <w:sz w:val="18"/>
              </w:rPr>
              <w:t>Văn phong súc tích, chuyên nghiệp, phục vụ trực tiếp cho tư vấn và bán hàng.</w:t>
            </w:r>
          </w:p>
        </w:tc>
      </w:tr>
    </w:tbl>
    <w:p>
      <w:pPr>
        <w:jc w:val="center"/>
      </w:pPr>
      <w:r>
        <w:rPr>
          <w:b/>
          <w:color w:val="1F4E79"/>
        </w:rPr>
        <w:t>END OF SERVICE PROFILE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