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pie5q5gnmvh" w:id="0"/>
      <w:bookmarkEnd w:id="0"/>
      <w:r w:rsidDel="00000000" w:rsidR="00000000" w:rsidRPr="00000000">
        <w:rPr>
          <w:rtl w:val="0"/>
        </w:rPr>
        <w:tab/>
        <w:tab/>
        <w:tab/>
        <w:t xml:space="preserve">   Universidade Positivo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Relatório Geral de Atividades – Projeto "Preço Justo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    Curitiba, Paraná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2025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Análise de Dados do Projeto </w:t>
      </w:r>
      <w:r w:rsidDel="00000000" w:rsidR="00000000" w:rsidRPr="00000000">
        <w:rPr>
          <w:i w:val="1"/>
          <w:sz w:val="44"/>
          <w:szCs w:val="44"/>
          <w:rtl w:val="0"/>
        </w:rPr>
        <w:t xml:space="preserve">Preço Justo PR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944.881889763779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Relatório do trabalho A2 da disciplina de</w:t>
      </w:r>
    </w:p>
    <w:p w:rsidR="00000000" w:rsidDel="00000000" w:rsidP="00000000" w:rsidRDefault="00000000" w:rsidRPr="00000000" w14:paraId="00000032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Data science, apresentada pelo professor Rubem Matimoto Koide pela Universidade Positivo</w:t>
      </w:r>
    </w:p>
    <w:p w:rsidR="00000000" w:rsidDel="00000000" w:rsidP="00000000" w:rsidRDefault="00000000" w:rsidRPr="00000000" w14:paraId="0000003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Curitiba, Paraná</w:t>
      </w:r>
    </w:p>
    <w:p w:rsidR="00000000" w:rsidDel="00000000" w:rsidP="00000000" w:rsidRDefault="00000000" w:rsidRPr="00000000" w14:paraId="0000004E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2025</w:t>
      </w:r>
    </w:p>
    <w:p w:rsidR="00000000" w:rsidDel="00000000" w:rsidP="00000000" w:rsidRDefault="00000000" w:rsidRPr="00000000" w14:paraId="0000004F">
      <w:pPr>
        <w:pStyle w:val="Heading1"/>
        <w:ind w:right="-749.5275590551165"/>
        <w:rPr>
          <w:sz w:val="24"/>
          <w:szCs w:val="24"/>
        </w:rPr>
      </w:pPr>
      <w:bookmarkStart w:colFirst="0" w:colLast="0" w:name="_17zmf6ytn3fh" w:id="1"/>
      <w:bookmarkEnd w:id="1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20 de outubro de 2025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Objetivo do Projeto:</w:t>
      </w:r>
      <w:r w:rsidDel="00000000" w:rsidR="00000000" w:rsidRPr="00000000">
        <w:rPr>
          <w:rtl w:val="0"/>
        </w:rPr>
        <w:t xml:space="preserve"> Realizar uma análise de regressão sobre dados de preços de combustíveis no estado do Paraná, com foco no comportamento do preço da gasolina ao longo do tempo. As atividades incluíram a implementação de modelos de regressão linear e não linear, a resolução de desafios técnicos e a criação de uma ferramenta de visualização interativa (dashboard).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5wxm0f34g6p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Análise de Regressão e Geração de Código</w:t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primeira etapa do projeto consistiu na criação de um script em Python para ser executado no ambiente Google Colab. O objetivo era analisar a tendência dos preços da gasolina com base nos dados fornecidos.</w:t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 Realizadas: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e Preparação dos Dados:</w:t>
      </w:r>
      <w:r w:rsidDel="00000000" w:rsidR="00000000" w:rsidRPr="00000000">
        <w:rPr>
          <w:rtl w:val="0"/>
        </w:rPr>
        <w:t xml:space="preserve"> O script foi programado para carregar o conjunto de dados, converter a coluna de data para um formato temporal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 e a coluna de valor de venda para um formato numérico. Para a análise de tendência, os preços diários foram agrupados e calculou-se a média de preço para cada dia.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dos Modelos de Regressão: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Regressão Linear Simples:</w:t>
      </w:r>
      <w:r w:rsidDel="00000000" w:rsidR="00000000" w:rsidRPr="00000000">
        <w:rPr>
          <w:rtl w:val="0"/>
        </w:rPr>
        <w:t xml:space="preserve"> Um modelo de linha reta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ax + b</w:t>
      </w:r>
      <w:r w:rsidDel="00000000" w:rsidR="00000000" w:rsidRPr="00000000">
        <w:rPr>
          <w:rtl w:val="0"/>
        </w:rPr>
        <w:t xml:space="preserve">) foi implementado para identificar a tendência geral dos preços (aumento ou queda constante).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Regressão Polinomial (Parábola):</w:t>
      </w:r>
      <w:r w:rsidDel="00000000" w:rsidR="00000000" w:rsidRPr="00000000">
        <w:rPr>
          <w:rtl w:val="0"/>
        </w:rPr>
        <w:t xml:space="preserve"> Um modelo de 2º grau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ax² + bx + c</w:t>
      </w:r>
      <w:r w:rsidDel="00000000" w:rsidR="00000000" w:rsidRPr="00000000">
        <w:rPr>
          <w:rtl w:val="0"/>
        </w:rPr>
        <w:t xml:space="preserve">) foi criado para capturar tendências de aceleração ou desaceleração nos preços.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Regressões Não Lineares Adicionais:</w:t>
      </w:r>
      <w:r w:rsidDel="00000000" w:rsidR="00000000" w:rsidRPr="00000000">
        <w:rPr>
          <w:rtl w:val="0"/>
        </w:rPr>
        <w:t xml:space="preserve"> Foram implementados modelos mais complexos para verificar outros padrões de comportamento: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Exponencial: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a * e^(bx)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Potência: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a * x^b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Logística: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L / (1 + e^(-k(x-x0)))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Desempenho:</w:t>
      </w:r>
      <w:r w:rsidDel="00000000" w:rsidR="00000000" w:rsidRPr="00000000">
        <w:rPr>
          <w:rtl w:val="0"/>
        </w:rPr>
        <w:t xml:space="preserve"> Para cada modelo, o </w:t>
      </w:r>
      <w:r w:rsidDel="00000000" w:rsidR="00000000" w:rsidRPr="00000000">
        <w:rPr>
          <w:b w:val="1"/>
          <w:rtl w:val="0"/>
        </w:rPr>
        <w:t xml:space="preserve">Coeficiente de Determinação (R²)</w:t>
      </w:r>
      <w:r w:rsidDel="00000000" w:rsidR="00000000" w:rsidRPr="00000000">
        <w:rPr>
          <w:rtl w:val="0"/>
        </w:rPr>
        <w:t xml:space="preserve"> foi calculado para avaliar a qualidade do ajuste aos dados.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Visualização:</w:t>
      </w:r>
      <w:r w:rsidDel="00000000" w:rsidR="00000000" w:rsidRPr="00000000">
        <w:rPr>
          <w:rtl w:val="0"/>
        </w:rPr>
        <w:t xml:space="preserve"> Gráficos foram gerados para cada modelo, plotando os dados reais (pontos de dispersão) e a curva de regressão ajustada (linha).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5pmw7exmnw0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Diagnóstico e Resolução de Erros Técnicos</w:t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Durante a fase de implementação, surgiram alguns desafios técnicos que exigiram depuração e correção do código.</w:t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 e Soluções Aplicadas: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FileNotFoundError</w:t>
      </w:r>
      <w:r w:rsidDel="00000000" w:rsidR="00000000" w:rsidRPr="00000000">
        <w:rPr>
          <w:b w:val="1"/>
          <w:rtl w:val="0"/>
        </w:rPr>
        <w:t xml:space="preserve"> (Arquivo Não Encontrado):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Diagnóstico:</w:t>
      </w:r>
      <w:r w:rsidDel="00000000" w:rsidR="00000000" w:rsidRPr="00000000">
        <w:rPr>
          <w:rtl w:val="0"/>
        </w:rPr>
        <w:t xml:space="preserve"> O código inicial não encontrava o arquivo de dados porque o caminho especificado não correspondia à localização do arquivo no ambiente do Google Colab.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O problema foi resolvido de forma definitiva ao se adotar um método de upload interativo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google.colab.files.upload()</w:t>
      </w:r>
      <w:r w:rsidDel="00000000" w:rsidR="00000000" w:rsidRPr="00000000">
        <w:rPr>
          <w:rtl w:val="0"/>
        </w:rPr>
        <w:t xml:space="preserve">), que permite ao usuário selecionar o arquivo diretamente, eliminando a necessidade de especificar o caminho manualmente.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UnicodeDecodeError</w:t>
      </w:r>
      <w:r w:rsidDel="00000000" w:rsidR="00000000" w:rsidRPr="00000000">
        <w:rPr>
          <w:b w:val="1"/>
          <w:rtl w:val="0"/>
        </w:rPr>
        <w:t xml:space="preserve"> (Erro de Codificação):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Diagnóstico:</w:t>
      </w:r>
      <w:r w:rsidDel="00000000" w:rsidR="00000000" w:rsidRPr="00000000">
        <w:rPr>
          <w:rtl w:val="0"/>
        </w:rPr>
        <w:t xml:space="preserve"> Após corrigir o problema do caminho, um novo erro surgiu, indicando que o arquivo continha caracteres especiais (como "ç") que não eram reconhecidos pela codificação padrão (UTF-8).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O código foi ajustado para ler o arquivo especificando a codificação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latin-1</w:t>
      </w:r>
      <w:r w:rsidDel="00000000" w:rsidR="00000000" w:rsidRPr="00000000">
        <w:rPr>
          <w:rtl w:val="0"/>
        </w:rPr>
        <w:t xml:space="preserve">, que é compatível com arquivos gerados por softwares como o Excel em sistemas Windows.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 tokenizing data</w:t>
      </w:r>
      <w:r w:rsidDel="00000000" w:rsidR="00000000" w:rsidRPr="00000000">
        <w:rPr>
          <w:b w:val="1"/>
          <w:rtl w:val="0"/>
        </w:rPr>
        <w:t xml:space="preserve"> (Erro de Formato de Arquivo):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Diagnóstico:</w:t>
      </w:r>
      <w:r w:rsidDel="00000000" w:rsidR="00000000" w:rsidRPr="00000000">
        <w:rPr>
          <w:rtl w:val="0"/>
        </w:rPr>
        <w:t xml:space="preserve"> O erro final de leitura ocorreu porque o código tentava usar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, destinada a arquivos de texto, para ler um arquivo nativo do Excel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.xlsx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O código foi corrigido para utilizar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pd.read_excel()</w:t>
      </w:r>
      <w:r w:rsidDel="00000000" w:rsidR="00000000" w:rsidRPr="00000000">
        <w:rPr>
          <w:rtl w:val="0"/>
        </w:rPr>
        <w:t xml:space="preserve">, que é a ferramenta apropriada para ler planilhas do Excel, resolvendo permanentemente o problema de carregamento de dados.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msjytase0aa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Desenvolvimento do Dashboard Interativo</w:t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Com os modelos de análise funcionando corretamente, a etapa final foi criar uma ferramenta de visualização que permitisse uma exploração dinâmica dos resultados.</w:t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Implementadas: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Interativa:</w:t>
      </w:r>
      <w:r w:rsidDel="00000000" w:rsidR="00000000" w:rsidRPr="00000000">
        <w:rPr>
          <w:rtl w:val="0"/>
        </w:rPr>
        <w:t xml:space="preserve"> Utilizando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  <w:t xml:space="preserve">, foi criado um dashboard diretamente no notebook do Google Colab.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Seleção de Modelos:</w:t>
      </w:r>
      <w:r w:rsidDel="00000000" w:rsidR="00000000" w:rsidRPr="00000000">
        <w:rPr>
          <w:rtl w:val="0"/>
        </w:rPr>
        <w:t xml:space="preserve"> Um menu suspenso foi adicionado, permitindo ao usuário escolher qual dos modelos de regressão (Linear, Polinomial, Exponencial, etc.) deseja visualizar.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Dinâmica:</w:t>
      </w:r>
      <w:r w:rsidDel="00000000" w:rsidR="00000000" w:rsidRPr="00000000">
        <w:rPr>
          <w:rtl w:val="0"/>
        </w:rPr>
        <w:t xml:space="preserve"> Ao selecionar um modelo no menu, o dashboard atualiza automaticamente o gráfico, exibindo a curva de regressão correspondente sobre os dados. Além disso, as informações-chave do modelo, como sua </w:t>
      </w:r>
      <w:r w:rsidDel="00000000" w:rsidR="00000000" w:rsidRPr="00000000">
        <w:rPr>
          <w:b w:val="1"/>
          <w:rtl w:val="0"/>
        </w:rPr>
        <w:t xml:space="preserve">equação matemática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valor de R²</w:t>
      </w:r>
      <w:r w:rsidDel="00000000" w:rsidR="00000000" w:rsidRPr="00000000">
        <w:rPr>
          <w:rtl w:val="0"/>
        </w:rPr>
        <w:t xml:space="preserve">, são exibidas diretamente no gráfico para fácil interpretação e comparação.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 Geral:</w:t>
      </w:r>
    </w:p>
    <w:p w:rsidR="00000000" w:rsidDel="00000000" w:rsidP="00000000" w:rsidRDefault="00000000" w:rsidRPr="00000000" w14:paraId="0000007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As atividades foram concluídas com sucesso. O projeto evoluiu de um script de análise estática para um dashboard interativo e robusto, capaz de carregar os dados de forma confiável e apresentar os resultados de múltiplos modelos de regressão de maneira clara e dinâmica. A jornada incluiu a resolução de problemas comuns de manipulação de dados em ambientes de nuvem, resultando em uma ferramenta final funcional e informativa para a análise dos preços de combustíveis.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