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3.png" ContentType="image/png"/>
  <Override PartName="/word/media/rId43.png" ContentType="image/png"/>
  <Override PartName="/word/media/rId21.png" ContentType="image/png"/>
  <Override PartName="/word/media/rId30.png" ContentType="image/png"/>
  <Override PartName="/word/media/rId26.png" ContentType="image/png"/>
  <Override PartName="/word/media/rId38.png" ContentType="image/png"/>
  <Override PartName="/word/media/rId34.png" ContentType="image/png"/>
  <Override PartName="/word/media/rId57.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Mercado de Trabalho no Setor Portuário</w:t>
      </w:r>
    </w:p>
    <w:sdt>
      <w:sdtPr>
        <w:docPartObj>
          <w:docPartGallery w:val="Table of Contents"/>
          <w:docPartUnique/>
        </w:docPartObj>
      </w:sdtPr>
      <w:sdtContent>
        <w:p>
          <w:pPr>
            <w:pStyle w:val="CabealhodoSumrio"/>
          </w:pPr>
          <w:r>
            <w:t xml:space="preserve">Sumário</w:t>
          </w:r>
        </w:p>
        <w:p>
          <w:r>
            <w:fldChar w:fldCharType="begin" w:dirty="true"/>
            <w:instrText xml:space="preserve">TOC \o "1-3" \h \z \u</w:instrText>
            <w:fldChar w:fldCharType="separate"/>
            <w:fldChar w:fldCharType="end"/>
          </w:r>
        </w:p>
      </w:sdtContent>
    </w:sdt>
    <w:bookmarkStart w:id="20" w:name="introdução"/>
    <w:p>
      <w:pPr>
        <w:pStyle w:val="Ttulo1"/>
      </w:pPr>
      <w:r>
        <w:t xml:space="preserve">1. Introdução</w:t>
      </w:r>
    </w:p>
    <w:p>
      <w:pPr>
        <w:pStyle w:val="FirstParagraph"/>
      </w:pPr>
      <w:r>
        <w:t xml:space="preserve">A Classificação Nacional de Atividades Econômicas (CNAE) organiza as atividades econômicas em 5 níveis hierárquicos: seção, divisão, grupo, classe e subclasse, conforme decrito no capítulo</w:t>
      </w:r>
      <w:r>
        <w:t xml:space="preserve"> </w:t>
      </w:r>
      <w:r>
        <w:rPr>
          <w:b/>
          <w:bCs/>
        </w:rPr>
        <w:t xml:space="preserve">Notas Metodológicas</w:t>
      </w:r>
      <w:r>
        <w:t xml:space="preserve">.</w:t>
      </w:r>
    </w:p>
    <w:p>
      <w:pPr>
        <w:pStyle w:val="Corpodetexto"/>
      </w:pPr>
      <w:r>
        <w:t xml:space="preserve">O setor portuário impacta direta e indiretamente a economia do país. Seu principal objetivo da CNAE 2.0 é padronizar a forma como as atividades econômicas são codificadas no Brasil: isso facilita produção de estatísticas econômicas, cadastrais, análises econômicas e também o registro oficial de empresas conforme a atividade que exercem. Neste relatório, a CNAE será utilizada para analisar dados sobre o mercado de</w:t>
      </w:r>
      <w:r>
        <w:t xml:space="preserve"> </w:t>
      </w:r>
      <w:r>
        <w:rPr>
          <w:b/>
          <w:bCs/>
        </w:rPr>
        <w:t xml:space="preserve">trabalho portuário e aquaviário</w:t>
      </w:r>
      <w:r>
        <w:t xml:space="preserve"> </w:t>
      </w:r>
      <w:r>
        <w:t xml:space="preserve">dos municípios de</w:t>
      </w:r>
      <w:r>
        <w:t xml:space="preserve"> </w:t>
      </w:r>
      <w:r>
        <w:rPr>
          <w:b/>
          <w:bCs/>
        </w:rPr>
        <w:t xml:space="preserve">Santos e de Guarujá entre 2020 e 2024</w:t>
      </w:r>
      <w:r>
        <w:t xml:space="preserve">. Trata-se, portanto, de um setor abrangente e com atividades diversas como instalações portuárias, embarcações mercantes, de passageiros, pesca, atividades em plataformas marítimas e de rerapação naval que movimentam inúmeras cadeias produtivas e setores econômicos.</w:t>
      </w:r>
    </w:p>
    <w:p>
      <w:pPr>
        <w:pStyle w:val="Corpodetexto"/>
      </w:pPr>
      <w:r>
        <w:t xml:space="preserve">Espera-se que as informações apresentadas (a metodologia está disponível na última seção) possam auxiliar o debate no setor e subsidiar a elaboração de políticas de gestão públicas e privadas.</w:t>
      </w:r>
    </w:p>
    <w:p>
      <w:pPr>
        <w:pStyle w:val="Corpodetexto"/>
      </w:pPr>
      <w:r>
        <w:t xml:space="preserve">Boa leitura.</w:t>
      </w:r>
    </w:p>
    <w:bookmarkEnd w:id="20"/>
    <w:bookmarkStart w:id="25" w:name="X381c86f193dff303e5900992cdbfff0646e2739"/>
    <w:p>
      <w:pPr>
        <w:pStyle w:val="Ttulo1"/>
      </w:pPr>
      <w:r>
        <w:t xml:space="preserve">2. Panorama do trabalho no setor portuário e aquaviário em Geral</w:t>
      </w:r>
    </w:p>
    <w:p>
      <w:pPr>
        <w:pStyle w:val="FirstParagraph"/>
      </w:pPr>
      <w:r>
        <w:t xml:space="preserve">Ao considerar os dados mais recentes, verifica-se que foram registrados 12.643 vínculos em Santos em 2020, que passou para 16.951 em 2024. Ademais, uma pessoa pode ter mais de um vínculo, por exemplo. Quanto ao município de Guarujá, constata-se que foram registrados 3.647 vínculos no setor em 2020, que valor passsou para 4.391 em 2024, o que representa um 20.4%.</w:t>
      </w:r>
    </w:p>
    <w:p>
      <w:pPr>
        <w:pStyle w:val="Corpodetexto"/>
      </w:pPr>
      <w:r>
        <w:t xml:space="preserve">Os dados contemplam as divisões da RAIS</w:t>
      </w:r>
      <w:r>
        <w:t xml:space="preserve"> </w:t>
      </w:r>
      <w:r>
        <w:rPr>
          <w:b/>
          <w:bCs/>
        </w:rPr>
        <w:t xml:space="preserve">Transporte Aquaviário</w:t>
      </w:r>
      <w:r>
        <w:t xml:space="preserve"> </w:t>
      </w:r>
      <w:r>
        <w:t xml:space="preserve">(integralmente) e</w:t>
      </w:r>
      <w:r>
        <w:t xml:space="preserve"> </w:t>
      </w:r>
      <w:r>
        <w:rPr>
          <w:b/>
          <w:bCs/>
        </w:rPr>
        <w:t xml:space="preserve">Armazenamento E Atividades Auxiliares Dos Transportes</w:t>
      </w:r>
      <w:r>
        <w:t xml:space="preserve"> </w:t>
      </w:r>
      <w:r>
        <w:t xml:space="preserve">(apenas o grupo</w:t>
      </w:r>
      <w:r>
        <w:t xml:space="preserve"> </w:t>
      </w:r>
      <w:r>
        <w:rPr>
          <w:b/>
          <w:bCs/>
        </w:rPr>
        <w:t xml:space="preserve">Atividades auxiliares dos transportes aquaviários</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fig-g_secao_geral"/>
          <w:p>
            <w:pPr>
              <w:jc w:val="center"/>
            </w:pPr>
            <w:pPr>
              <w:jc w:val="left"/>
              <w:spacing w:before="200"/>
              <w:pStyle w:val="ImageCaption"/>
            </w:pPr>
            <w:r>
              <w:t xml:space="preserve">Figura 1: Vínculos do Setor Portuário e Aquaviário (2020-2024):comparação entre Santos e Guarujá</w:t>
            </w:r>
          </w:p>
          <w:p>
            <w:pPr>
              <w:pStyle w:val="Compact"/>
              <w:jc w:val="center"/>
            </w:pPr>
            <w:r>
              <w:drawing>
                <wp:inline>
                  <wp:extent cx="5969000" cy="5116285"/>
                  <wp:effectExtent b="0" l="0" r="0" t="0"/>
                  <wp:docPr descr="" title="" id="22" name="Picture"/>
                  <a:graphic>
                    <a:graphicData uri="http://schemas.openxmlformats.org/drawingml/2006/picture">
                      <pic:pic>
                        <pic:nvPicPr>
                          <pic:cNvPr descr="rais-santos_files/figure-docx/fig-g_secao_geral-1.png" id="23" name="Picture"/>
                          <pic:cNvPicPr>
                            <a:picLocks noChangeArrowheads="1" noChangeAspect="1"/>
                          </pic:cNvPicPr>
                        </pic:nvPicPr>
                        <pic:blipFill>
                          <a:blip r:embed="rId21"/>
                          <a:stretch>
                            <a:fillRect/>
                          </a:stretch>
                        </pic:blipFill>
                        <pic:spPr bwMode="auto">
                          <a:xfrm>
                            <a:off x="0" y="0"/>
                            <a:ext cx="5969000" cy="5116285"/>
                          </a:xfrm>
                          <a:prstGeom prst="rect">
                            <a:avLst/>
                          </a:prstGeom>
                          <a:noFill/>
                          <a:ln w="9525">
                            <a:noFill/>
                            <a:headEnd/>
                            <a:tailEnd/>
                          </a:ln>
                        </pic:spPr>
                      </pic:pic>
                    </a:graphicData>
                  </a:graphic>
                </wp:inline>
              </w:drawing>
            </w:r>
          </w:p>
          <w:bookmarkEnd w:id="24"/>
        </w:tc>
      </w:tr>
    </w:tbl>
    <w:bookmarkEnd w:id="25"/>
    <w:bookmarkStart w:id="67" w:name="X3e85e9c9c5ddfd39bc1025439e310e99e3c9a79"/>
    <w:p>
      <w:pPr>
        <w:pStyle w:val="Ttulo1"/>
      </w:pPr>
      <w:r>
        <w:t xml:space="preserve">3. Panorama do trabalho no setor portuário e aquaviário em Santos</w:t>
      </w:r>
    </w:p>
    <w:p>
      <w:pPr>
        <w:pStyle w:val="FirstParagraph"/>
      </w:pPr>
      <w:r>
        <w:t xml:space="preserve">Ao analisar a divis]ap</w:t>
      </w:r>
      <w:r>
        <w:t xml:space="preserve"> </w:t>
      </w:r>
      <w:r>
        <w:rPr>
          <w:b/>
          <w:bCs/>
        </w:rPr>
        <w:t xml:space="preserve">TRANSPORTE AQUAVIÁRIO</w:t>
      </w:r>
      <w:r>
        <w:t xml:space="preserve">, constata-se que o grupo</w:t>
      </w:r>
      <w:r>
        <w:t xml:space="preserve"> </w:t>
      </w:r>
      <w:r>
        <w:rPr>
          <w:b/>
          <w:bCs/>
        </w:rPr>
        <w:t xml:space="preserve">Navegação de apoio</w:t>
      </w:r>
      <w:r>
        <w:t xml:space="preserve"> </w:t>
      </w:r>
      <w:r>
        <w:t xml:space="preserve">seguiu em crescimento ao longo do período analisado, saindo do valor de 247 vínculos em 2020 para 533 em 2024</w:t>
      </w:r>
    </w:p>
    <w:tbl>
      <w:tblPr>
        <w:tblStyle w:val="Table"/>
        <w:tblW w:type="pct" w:w="5000"/>
        <w:tblLayout w:type="fixed"/>
        <w:tblLook w:firstRow="0" w:lastRow="0" w:firstColumn="0" w:lastColumn="0" w:noHBand="0" w:noVBand="0" w:val="0000"/>
      </w:tblPr>
      <w:tblGrid>
        <w:gridCol w:w="7920"/>
      </w:tblGrid>
      <w:tr>
        <w:tc>
          <w:tcPr/>
          <w:bookmarkStart w:id="29" w:name="fig-g_secao_santos_grupo_transporte_aqua"/>
          <w:p>
            <w:pPr>
              <w:jc w:val="center"/>
            </w:pPr>
            <w:pPr>
              <w:jc w:val="left"/>
              <w:spacing w:before="200"/>
              <w:pStyle w:val="ImageCaption"/>
            </w:pPr>
            <w:r>
              <w:t xml:space="preserve">Figura 2: Evolução dos Vínculos do Transporte Aquaviário em Santos (2020-2024): Por grupo de atividade econômica</w:t>
            </w:r>
          </w:p>
          <w:p>
            <w:pPr>
              <w:pStyle w:val="Compact"/>
              <w:jc w:val="center"/>
            </w:pPr>
            <w:r>
              <w:drawing>
                <wp:inline>
                  <wp:extent cx="5969000" cy="5116285"/>
                  <wp:effectExtent b="0" l="0" r="0" t="0"/>
                  <wp:docPr descr="" title="" id="27" name="Picture"/>
                  <a:graphic>
                    <a:graphicData uri="http://schemas.openxmlformats.org/drawingml/2006/picture">
                      <pic:pic>
                        <pic:nvPicPr>
                          <pic:cNvPr descr="rais-santos_files/figure-docx/fig-g_secao_santos_grupo_transporte_aqua-1.png" id="28" name="Picture"/>
                          <pic:cNvPicPr>
                            <a:picLocks noChangeArrowheads="1" noChangeAspect="1"/>
                          </pic:cNvPicPr>
                        </pic:nvPicPr>
                        <pic:blipFill>
                          <a:blip r:embed="rId26"/>
                          <a:stretch>
                            <a:fillRect/>
                          </a:stretch>
                        </pic:blipFill>
                        <pic:spPr bwMode="auto">
                          <a:xfrm>
                            <a:off x="0" y="0"/>
                            <a:ext cx="5969000" cy="5116285"/>
                          </a:xfrm>
                          <a:prstGeom prst="rect">
                            <a:avLst/>
                          </a:prstGeom>
                          <a:noFill/>
                          <a:ln w="9525">
                            <a:noFill/>
                            <a:headEnd/>
                            <a:tailEnd/>
                          </a:ln>
                        </pic:spPr>
                      </pic:pic>
                    </a:graphicData>
                  </a:graphic>
                </wp:inline>
              </w:drawing>
            </w:r>
          </w:p>
          <w:bookmarkEnd w:id="29"/>
        </w:tc>
      </w:tr>
    </w:tbl>
    <w:p>
      <w:pPr>
        <w:pStyle w:val="Corpodetexto"/>
      </w:pPr>
    </w:p>
    <w:p>
      <w:pPr>
        <w:pStyle w:val="Corpodetexto"/>
      </w:pPr>
      <w:r>
        <w:t xml:space="preserve">O grupo</w:t>
      </w:r>
      <w:r>
        <w:t xml:space="preserve"> </w:t>
      </w:r>
      <w:r>
        <w:rPr>
          <w:b/>
          <w:bCs/>
        </w:rPr>
        <w:t xml:space="preserve">Atividades auxiliares dos transportes aquaviários</w:t>
      </w:r>
      <w:r>
        <w:t xml:space="preserve"> </w:t>
      </w:r>
      <w:r>
        <w:t xml:space="preserve">é o único relacionado a atividades aquaviárias da Divisão de atividades econômicas</w:t>
      </w:r>
      <w:r>
        <w:t xml:space="preserve"> </w:t>
      </w:r>
      <w:r>
        <w:rPr>
          <w:b/>
          <w:bCs/>
        </w:rPr>
        <w:t xml:space="preserve">ARMAZENAMENTO E ATIVIDADES AUXILIARES DOS TRANSPORTES</w:t>
      </w:r>
      <w:r>
        <w:t xml:space="preserve">. Por isso, ele será o único analisado nesta divisão</w:t>
      </w:r>
    </w:p>
    <w:p>
      <w:pPr>
        <w:pStyle w:val="Corpodetexto"/>
      </w:pPr>
      <w:r>
        <w:t xml:space="preserve">Ao analisar o grupo</w:t>
      </w:r>
      <w:r>
        <w:t xml:space="preserve"> </w:t>
      </w:r>
      <w:r>
        <w:rPr>
          <w:b/>
          <w:bCs/>
        </w:rPr>
        <w:t xml:space="preserve">Atividades auxiliares dos transportes aquaviários</w:t>
      </w:r>
      <w:r>
        <w:t xml:space="preserve">, constata-se que ele saiu do valor de 11.967 vínculos em 2020 para 16.062 em 2024.</w:t>
      </w:r>
    </w:p>
    <w:tbl>
      <w:tblPr>
        <w:tblStyle w:val="Table"/>
        <w:tblW w:type="pct" w:w="5000"/>
        <w:tblLayout w:type="fixed"/>
        <w:tblLook w:firstRow="0" w:lastRow="0" w:firstColumn="0" w:lastColumn="0" w:noHBand="0" w:noVBand="0" w:val="0000"/>
      </w:tblPr>
      <w:tblGrid>
        <w:gridCol w:w="7920"/>
      </w:tblGrid>
      <w:tr>
        <w:tc>
          <w:tcPr/>
          <w:bookmarkStart w:id="33" w:name="fig-g_secao_santos_grupo_armazenamento"/>
          <w:p>
            <w:pPr>
              <w:jc w:val="center"/>
            </w:pPr>
            <w:pPr>
              <w:jc w:val="left"/>
              <w:spacing w:before="200"/>
              <w:pStyle w:val="ImageCaption"/>
            </w:pPr>
            <w:r>
              <w:t xml:space="preserve">Figura 3: Evolução dos Vínculos do Armazenamento E Atividades Auxiliares Dos Transportes em Santos (2020-2024): Por grupo de atividade econômica</w:t>
            </w:r>
          </w:p>
          <w:p>
            <w:pPr>
              <w:pStyle w:val="Compact"/>
              <w:jc w:val="center"/>
            </w:pPr>
            <w:r>
              <w:drawing>
                <wp:inline>
                  <wp:extent cx="5969000" cy="5116285"/>
                  <wp:effectExtent b="0" l="0" r="0" t="0"/>
                  <wp:docPr descr="" title="" id="31" name="Picture"/>
                  <a:graphic>
                    <a:graphicData uri="http://schemas.openxmlformats.org/drawingml/2006/picture">
                      <pic:pic>
                        <pic:nvPicPr>
                          <pic:cNvPr descr="rais-santos_files/figure-docx/fig-g_secao_santos_grupo_armazenamento-1.png" id="32" name="Picture"/>
                          <pic:cNvPicPr>
                            <a:picLocks noChangeArrowheads="1" noChangeAspect="1"/>
                          </pic:cNvPicPr>
                        </pic:nvPicPr>
                        <pic:blipFill>
                          <a:blip r:embed="rId30"/>
                          <a:stretch>
                            <a:fillRect/>
                          </a:stretch>
                        </pic:blipFill>
                        <pic:spPr bwMode="auto">
                          <a:xfrm>
                            <a:off x="0" y="0"/>
                            <a:ext cx="5969000" cy="5116285"/>
                          </a:xfrm>
                          <a:prstGeom prst="rect">
                            <a:avLst/>
                          </a:prstGeom>
                          <a:noFill/>
                          <a:ln w="9525">
                            <a:noFill/>
                            <a:headEnd/>
                            <a:tailEnd/>
                          </a:ln>
                        </pic:spPr>
                      </pic:pic>
                    </a:graphicData>
                  </a:graphic>
                </wp:inline>
              </w:drawing>
            </w:r>
          </w:p>
          <w:bookmarkEnd w:id="33"/>
        </w:tc>
      </w:tr>
    </w:tbl>
    <w:p>
      <w:pPr>
        <w:pStyle w:val="Corpodetexto"/>
      </w:pPr>
    </w:p>
    <w:bookmarkStart w:id="48" w:name="X91cfd0aa054164e268fb2f67f8dc60c1476c6f0"/>
    <w:p>
      <w:pPr>
        <w:pStyle w:val="Ttulo2"/>
      </w:pPr>
      <w:r>
        <w:t xml:space="preserve">3.1 Perfil do Trabalhador Portuário e Aquaviário em Santos</w:t>
      </w:r>
    </w:p>
    <w:p>
      <w:pPr>
        <w:pStyle w:val="FirstParagraph"/>
      </w:pPr>
      <w:r>
        <w:t xml:space="preserve">Ao analisar o perfil dos trabalhadores portuários e aquaviários de Santos por sexo, observa-se que a participação masculina é predominante. Em 2024, 12.836 eram homens, sendo apenas 4.115.</w:t>
      </w:r>
    </w:p>
    <w:tbl>
      <w:tblPr>
        <w:tblStyle w:val="Table"/>
        <w:tblW w:type="pct" w:w="5000"/>
        <w:tblLayout w:type="fixed"/>
        <w:tblLook w:firstRow="0" w:lastRow="0" w:firstColumn="0" w:lastColumn="0" w:noHBand="0" w:noVBand="0" w:val="0000"/>
      </w:tblPr>
      <w:tblGrid>
        <w:gridCol w:w="7920"/>
      </w:tblGrid>
      <w:tr>
        <w:tc>
          <w:tcPr/>
          <w:bookmarkStart w:id="37" w:name="fig-g_sexo_santos"/>
          <w:p>
            <w:pPr>
              <w:jc w:val="center"/>
            </w:pPr>
            <w:pPr>
              <w:jc w:val="left"/>
              <w:spacing w:before="200"/>
              <w:pStyle w:val="ImageCaption"/>
            </w:pPr>
            <w:r>
              <w:t xml:space="preserve">Figura 4: Evolução dos Vínculos por Sexo em Santos (2020-2024): Distribuição entre masculino e feminino</w:t>
            </w:r>
          </w:p>
          <w:p>
            <w:pPr>
              <w:pStyle w:val="Compact"/>
              <w:jc w:val="center"/>
            </w:pPr>
            <w:r>
              <w:drawing>
                <wp:inline>
                  <wp:extent cx="5969000" cy="4263571"/>
                  <wp:effectExtent b="0" l="0" r="0" t="0"/>
                  <wp:docPr descr="" title="" id="35" name="Picture"/>
                  <a:graphic>
                    <a:graphicData uri="http://schemas.openxmlformats.org/drawingml/2006/picture">
                      <pic:pic>
                        <pic:nvPicPr>
                          <pic:cNvPr descr="rais-santos_files/figure-docx/fig-g_sexo_santos-1.png" id="36" name="Picture"/>
                          <pic:cNvPicPr>
                            <a:picLocks noChangeArrowheads="1" noChangeAspect="1"/>
                          </pic:cNvPicPr>
                        </pic:nvPicPr>
                        <pic:blipFill>
                          <a:blip r:embed="rId34"/>
                          <a:stretch>
                            <a:fillRect/>
                          </a:stretch>
                        </pic:blipFill>
                        <pic:spPr bwMode="auto">
                          <a:xfrm>
                            <a:off x="0" y="0"/>
                            <a:ext cx="5969000" cy="4263571"/>
                          </a:xfrm>
                          <a:prstGeom prst="rect">
                            <a:avLst/>
                          </a:prstGeom>
                          <a:noFill/>
                          <a:ln w="9525">
                            <a:noFill/>
                            <a:headEnd/>
                            <a:tailEnd/>
                          </a:ln>
                        </pic:spPr>
                      </pic:pic>
                    </a:graphicData>
                  </a:graphic>
                </wp:inline>
              </w:drawing>
            </w:r>
          </w:p>
          <w:bookmarkEnd w:id="37"/>
        </w:tc>
      </w:tr>
    </w:tbl>
    <w:p>
      <w:pPr>
        <w:pStyle w:val="Corpodetexto"/>
      </w:pPr>
    </w:p>
    <w:p>
      <w:pPr>
        <w:pStyle w:val="Corpodetexto"/>
      </w:pPr>
      <w:r>
        <w:t xml:space="preserve">Ao analisar a relação entre sexo e grau de instrução, constata-se que a maioria das mulheres deste segmento possuem o ensino superior completo como o maior grau de escolaridade. Por outro lado, a maioria dos homens possuem o ensino médio completo como o mais elevado grau de instrução. Assim, ainda que as mulheres sejam minoria no setor, elas possuem, proporcionalmente, maior qualificação.</w:t>
      </w:r>
    </w:p>
    <w:tbl>
      <w:tblPr>
        <w:tblStyle w:val="Table"/>
        <w:tblW w:type="pct" w:w="5000"/>
        <w:tblLayout w:type="fixed"/>
        <w:tblLook w:firstRow="0" w:lastRow="0" w:firstColumn="0" w:lastColumn="0" w:noHBand="0" w:noVBand="0" w:val="0000"/>
      </w:tblPr>
      <w:tblGrid>
        <w:gridCol w:w="7920"/>
      </w:tblGrid>
      <w:tr>
        <w:tc>
          <w:tcPr/>
          <w:bookmarkStart w:id="41" w:name="fig-g_sexo_escol_santos"/>
          <w:p>
            <w:pPr>
              <w:jc w:val="center"/>
            </w:pPr>
            <w:pPr>
              <w:jc w:val="left"/>
              <w:spacing w:before="200"/>
              <w:pStyle w:val="ImageCaption"/>
            </w:pPr>
            <w:r>
              <w:t xml:space="preserve">Figura 5: Distribuição Educacional por Sexo em Santos (2020-2024): Maioria das mulheres possuem superior completo maioria dos homens possuem ensino médio completo</w:t>
            </w:r>
          </w:p>
          <w:p>
            <w:pPr>
              <w:pStyle w:val="Compact"/>
              <w:jc w:val="center"/>
            </w:pPr>
            <w:r>
              <w:drawing>
                <wp:inline>
                  <wp:extent cx="5969000" cy="4263571"/>
                  <wp:effectExtent b="0" l="0" r="0" t="0"/>
                  <wp:docPr descr="" title="" id="39" name="Picture"/>
                  <a:graphic>
                    <a:graphicData uri="http://schemas.openxmlformats.org/drawingml/2006/picture">
                      <pic:pic>
                        <pic:nvPicPr>
                          <pic:cNvPr descr="rais-santos_files/figure-docx/fig-g_sexo_escol_santos-1.png" id="40" name="Picture"/>
                          <pic:cNvPicPr>
                            <a:picLocks noChangeArrowheads="1" noChangeAspect="1"/>
                          </pic:cNvPicPr>
                        </pic:nvPicPr>
                        <pic:blipFill>
                          <a:blip r:embed="rId38"/>
                          <a:stretch>
                            <a:fillRect/>
                          </a:stretch>
                        </pic:blipFill>
                        <pic:spPr bwMode="auto">
                          <a:xfrm>
                            <a:off x="0" y="0"/>
                            <a:ext cx="5969000" cy="4263571"/>
                          </a:xfrm>
                          <a:prstGeom prst="rect">
                            <a:avLst/>
                          </a:prstGeom>
                          <a:noFill/>
                          <a:ln w="9525">
                            <a:noFill/>
                            <a:headEnd/>
                            <a:tailEnd/>
                          </a:ln>
                        </pic:spPr>
                      </pic:pic>
                    </a:graphicData>
                  </a:graphic>
                </wp:inline>
              </w:drawing>
            </w:r>
          </w:p>
          <w:bookmarkEnd w:id="41"/>
        </w:tc>
      </w:tr>
    </w:tbl>
    <w:p>
      <w:pPr>
        <w:pStyle w:val="Corpodetexto"/>
      </w:pPr>
    </w:p>
    <w:tbl>
      <w:tblPr>
        <w:tblStyle w:val="Table"/>
        <w:tblW w:type="pct" w:w="5000"/>
        <w:tblLayout w:type="fixed"/>
        <w:tblLook w:firstRow="0" w:lastRow="0" w:firstColumn="0" w:lastColumn="0" w:noHBand="0" w:noVBand="0" w:val="0000"/>
      </w:tblPr>
      <w:tblGrid>
        <w:gridCol w:w="7920"/>
      </w:tblGrid>
      <w:tr>
        <w:tc>
          <w:tcPr/>
          <w:bookmarkStart w:id="42" w:name="tbl-remuneracao-escol"/>
          <w:p>
            <w:pPr>
              <w:jc w:val="center"/>
            </w:pPr>
            <w:pPr>
              <w:jc w:val="left"/>
              <w:spacing w:before="200"/>
              <w:pStyle w:val="ImageCaption"/>
            </w:pPr>
            <w:r>
              <w:t xml:space="preserve">Tabela 1: Remuneração Média por Grau de Instrução - Santos (2020-2024)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152"/>
              <w:gridCol w:w="1152"/>
              <w:gridCol w:w="1440"/>
              <w:gridCol w:w="1440"/>
              <w:gridCol w:w="1440"/>
              <w:gridCol w:w="1152"/>
            </w:tblGrid>
            <w:tr>
              <w:trPr>
                <w:trHeight w:val="576" w:hRule="auto"/>
                <w:tblHeader/>
              </w:trPr>
              header1
              <w:tc>
                <w:tcPr>
                  <w:tcBorders>
                    <w:bottom w:val="single" w:sz="8" w:space="0" w:color="000000"/>
                    <w:top w:val="single" w:sz="8" w:space="0" w:color="000000"/>
                    <w:left w:val="single" w:sz="8" w:space="0" w:color="000000"/>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Grau de Instrução</w:t>
                  </w:r>
                </w:p>
              </w:tc>
              <w:tc>
                <w:tcPr>
                  <w:tcBorders>
                    <w:bottom w:val="single" w:sz="8" w:space="0" w:color="000000"/>
                    <w:top w:val="single" w:sz="8" w:space="0" w:color="000000"/>
                    <w:left w:val="single" w:sz="4" w:space="0" w:color="BEBEBE"/>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Nº Feminino</w:t>
                  </w:r>
                </w:p>
              </w:tc>
              <w:tc>
                <w:tcPr>
                  <w:tcBorders>
                    <w:bottom w:val="single" w:sz="8" w:space="0" w:color="000000"/>
                    <w:top w:val="single" w:sz="8" w:space="0" w:color="000000"/>
                    <w:left w:val="single" w:sz="4" w:space="0" w:color="BEBEBE"/>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Nº Masculino</w:t>
                  </w:r>
                </w:p>
              </w:tc>
              <w:tc>
                <w:tcPr>
                  <w:tcBorders>
                    <w:bottom w:val="single" w:sz="8" w:space="0" w:color="000000"/>
                    <w:top w:val="single" w:sz="8" w:space="0" w:color="000000"/>
                    <w:left w:val="single" w:sz="4" w:space="0" w:color="BEBEBE"/>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R$ Médio Feminino</w:t>
                  </w:r>
                </w:p>
              </w:tc>
              <w:tc>
                <w:tcPr>
                  <w:tcBorders>
                    <w:bottom w:val="single" w:sz="8" w:space="0" w:color="000000"/>
                    <w:top w:val="single" w:sz="8" w:space="0" w:color="000000"/>
                    <w:left w:val="single" w:sz="4" w:space="0" w:color="BEBEBE"/>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R$ Médio Masculino</w:t>
                  </w:r>
                </w:p>
              </w:tc>
              <w:tc>
                <w:tcPr>
                  <w:tcBorders>
                    <w:bottom w:val="single" w:sz="8" w:space="0" w:color="000000"/>
                    <w:top w:val="single" w:sz="8" w:space="0" w:color="000000"/>
                    <w:left w:val="single" w:sz="4" w:space="0" w:color="BEBEBE"/>
                    <w:right w:val="single" w:sz="4" w:space="0" w:color="BEBEBE"/>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Diferença (R$)</w:t>
                  </w:r>
                </w:p>
              </w:tc>
              <w:tc>
                <w:tcPr>
                  <w:tcBorders>
                    <w:bottom w:val="single" w:sz="8" w:space="0" w:color="000000"/>
                    <w:top w:val="single" w:sz="8" w:space="0" w:color="000000"/>
                    <w:left w:val="single" w:sz="4" w:space="0" w:color="BEBEBE"/>
                    <w:right w:val="single" w:sz="8" w:space="0" w:color="000000"/>
                  </w:tcBorders>
                  <w:shd w:val="clear" w:color="auto" w:fill="4472C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FFFFFF"/>
                    </w:rPr>
                    <w:t xml:space="preserve">Diferença (%)</w:t>
                  </w:r>
                </w:p>
              </w:tc>
            </w:tr>
            <w:tr>
              <w:trPr>
                <w:trHeight w:val="432" w:hRule="auto"/>
              </w:trPr>
              body1
              <w:tc>
                <w:tcPr>
                  <w:tcBorders>
                    <w:bottom w:val="single" w:sz="4" w:space="0" w:color="BEBEBE"/>
                    <w:top w:val="single" w:sz="8" w:space="0" w:color="000000"/>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Pós-graduação</w:t>
                  </w:r>
                </w:p>
              </w:tc>
              <w:tc>
                <w:tcPr>
                  <w:tcBorders>
                    <w:bottom w:val="single" w:sz="4" w:space="0" w:color="BEBEBE"/>
                    <w:top w:val="single" w:sz="8" w:space="0" w:color="000000"/>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33</w:t>
                  </w:r>
                </w:p>
              </w:tc>
              <w:tc>
                <w:tcPr>
                  <w:tcBorders>
                    <w:bottom w:val="single" w:sz="4" w:space="0" w:color="BEBEBE"/>
                    <w:top w:val="single" w:sz="8" w:space="0" w:color="000000"/>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108</w:t>
                  </w:r>
                </w:p>
              </w:tc>
              <w:tc>
                <w:tcPr>
                  <w:tcBorders>
                    <w:bottom w:val="single" w:sz="4" w:space="0" w:color="BEBEBE"/>
                    <w:top w:val="single" w:sz="8" w:space="0" w:color="000000"/>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R$ 15.051,64</w:t>
                  </w:r>
                </w:p>
              </w:tc>
              <w:tc>
                <w:tcPr>
                  <w:tcBorders>
                    <w:bottom w:val="single" w:sz="4" w:space="0" w:color="BEBEBE"/>
                    <w:top w:val="single" w:sz="8" w:space="0" w:color="000000"/>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R$ 18.873,03</w:t>
                  </w:r>
                </w:p>
              </w:tc>
              <w:tc>
                <w:tcPr>
                  <w:tcBorders>
                    <w:bottom w:val="single" w:sz="4" w:space="0" w:color="BEBEBE"/>
                    <w:top w:val="single" w:sz="8" w:space="0" w:color="000000"/>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R$ 3.821,39</w:t>
                  </w:r>
                </w:p>
              </w:tc>
              <w:tc>
                <w:tcPr>
                  <w:tcBorders>
                    <w:bottom w:val="single" w:sz="4" w:space="0" w:color="BEBEBE"/>
                    <w:top w:val="single" w:sz="8" w:space="0" w:color="000000"/>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+25.4%</w:t>
                  </w:r>
                </w:p>
              </w:tc>
            </w:tr>
            <w:tr>
              <w:trPr>
                <w:trHeight w:val="432" w:hRule="auto"/>
              </w:trPr>
              body2
              <w:tc>
                <w:tcPr>
                  <w:tcBorders>
                    <w:bottom w:val="single" w:sz="4" w:space="0" w:color="BEBEBE"/>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Superior completo</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2.235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3.027</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R$ 6.727,79</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R$ 10.356,27</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R$ 3.628,48</w:t>
                  </w:r>
                </w:p>
              </w:tc>
              <w:tc>
                <w:tcPr>
                  <w:tcBorders>
                    <w:bottom w:val="single" w:sz="4" w:space="0" w:color="BEBEBE"/>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+53.9%</w:t>
                  </w:r>
                </w:p>
              </w:tc>
            </w:tr>
            <w:tr>
              <w:trPr>
                <w:trHeight w:val="432" w:hRule="auto"/>
              </w:trPr>
              body3
              <w:tc>
                <w:tcPr>
                  <w:tcBorders>
                    <w:bottom w:val="single" w:sz="4" w:space="0" w:color="BEBEBE"/>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Médio completo</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1.105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7.705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R$ 3.604,80</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R$ 5.602,15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R$ 1.997,35</w:t>
                  </w:r>
                </w:p>
              </w:tc>
              <w:tc>
                <w:tcPr>
                  <w:tcBorders>
                    <w:bottom w:val="single" w:sz="4" w:space="0" w:color="BEBEBE"/>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+55.4%</w:t>
                  </w:r>
                </w:p>
              </w:tc>
            </w:tr>
            <w:tr>
              <w:trPr>
                <w:trHeight w:val="432" w:hRule="auto"/>
              </w:trPr>
              body4
              <w:tc>
                <w:tcPr>
                  <w:tcBorders>
                    <w:bottom w:val="single" w:sz="4" w:space="0" w:color="BEBEBE"/>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Fundamental completo</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34</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446</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R$ 2.379,85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R$ 4.970,25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R$ 2.590,40</w:t>
                  </w:r>
                </w:p>
              </w:tc>
              <w:tc>
                <w:tcPr>
                  <w:tcBorders>
                    <w:bottom w:val="single" w:sz="4" w:space="0" w:color="BEBEBE"/>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+108.8%</w:t>
                  </w:r>
                </w:p>
              </w:tc>
            </w:tr>
            <w:tr>
              <w:trPr>
                <w:trHeight w:val="432" w:hRule="auto"/>
              </w:trPr>
              body5
              <w:tc>
                <w:tcPr>
                  <w:tcBorders>
                    <w:bottom w:val="single" w:sz="4" w:space="0" w:color="BEBEBE"/>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Superior incompleto</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601</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768</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R$ 3.549,49</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R$ 4.886,06</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R$ 1.336,57</w:t>
                  </w:r>
                </w:p>
              </w:tc>
              <w:tc>
                <w:tcPr>
                  <w:tcBorders>
                    <w:bottom w:val="single" w:sz="4" w:space="0" w:color="BEBEBE"/>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+37.7%</w:t>
                  </w:r>
                </w:p>
              </w:tc>
            </w:tr>
            <w:tr>
              <w:trPr>
                <w:trHeight w:val="432" w:hRule="auto"/>
              </w:trPr>
              body6
              <w:tc>
                <w:tcPr>
                  <w:tcBorders>
                    <w:bottom w:val="single" w:sz="4" w:space="0" w:color="BEBEBE"/>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Médio incompleto</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83</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353</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R$ 2.365,46</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R$ 4.292,55</w:t>
                  </w:r>
                </w:p>
              </w:tc>
              <w:tc>
                <w:tcPr>
                  <w:tcBorders>
                    <w:bottom w:val="single" w:sz="4" w:space="0" w:color="BEBEBE"/>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R$ 1.927,09</w:t>
                  </w:r>
                </w:p>
              </w:tc>
              <w:tc>
                <w:tcPr>
                  <w:tcBorders>
                    <w:bottom w:val="single" w:sz="4" w:space="0" w:color="BEBEBE"/>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+81.5%</w:t>
                  </w:r>
                </w:p>
              </w:tc>
            </w:tr>
            <w:tr>
              <w:trPr>
                <w:trHeight w:val="432" w:hRule="auto"/>
              </w:trPr>
              body7
              <w:tc>
                <w:tcPr>
                  <w:tcBorders>
                    <w:bottom w:val="single" w:sz="8" w:space="0" w:color="000000"/>
                    <w:top w:val="single" w:sz="4" w:space="0" w:color="BEBEBE"/>
                    <w:left w:val="single" w:sz="8" w:space="0" w:color="000000"/>
                    <w:right w:val="single" w:sz="4"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Fundamental incompleto</w:t>
                  </w:r>
                </w:p>
              </w:tc>
              <w:tc>
                <w:tcPr>
                  <w:tcBorders>
                    <w:bottom w:val="single" w:sz="8" w:space="0" w:color="000000"/>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20</w:t>
                  </w:r>
                </w:p>
              </w:tc>
              <w:tc>
                <w:tcPr>
                  <w:tcBorders>
                    <w:bottom w:val="single" w:sz="8" w:space="0" w:color="000000"/>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418</w:t>
                  </w:r>
                </w:p>
              </w:tc>
              <w:tc>
                <w:tcPr>
                  <w:tcBorders>
                    <w:bottom w:val="single" w:sz="8" w:space="0" w:color="000000"/>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R$ 1.677,93</w:t>
                  </w:r>
                </w:p>
              </w:tc>
              <w:tc>
                <w:tcPr>
                  <w:tcBorders>
                    <w:bottom w:val="single" w:sz="8" w:space="0" w:color="000000"/>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R$ 3.458,05</w:t>
                  </w:r>
                </w:p>
              </w:tc>
              <w:tc>
                <w:tcPr>
                  <w:tcBorders>
                    <w:bottom w:val="single" w:sz="8" w:space="0" w:color="000000"/>
                    <w:top w:val="single" w:sz="4" w:space="0" w:color="BEBEBE"/>
                    <w:left w:val="single" w:sz="4" w:space="0" w:color="BEBEBE"/>
                    <w:right w:val="single" w:sz="4"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R$ 1.780,12</w:t>
                  </w:r>
                </w:p>
              </w:tc>
              <w:tc>
                <w:tcPr>
                  <w:tcBorders>
                    <w:bottom w:val="single" w:sz="8" w:space="0" w:color="000000"/>
                    <w:top w:val="single" w:sz="4" w:space="0" w:color="BEBEBE"/>
                    <w:left w:val="single" w:sz="4" w:space="0" w:color="BEBEBE"/>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+106.1%</w:t>
                  </w:r>
                </w:p>
              </w:tc>
            </w:tr>
          </w:tbl>
          <w:bookmarkEnd w:id="42"/>
        </w:tc>
      </w:tr>
    </w:tbl>
    <w:p>
      <w:pPr>
        <w:pStyle w:val="Corpodetexto"/>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fig-g_renda_sexo_raca"/>
          <w:p>
            <w:pPr>
              <w:jc w:val="center"/>
            </w:pPr>
            <w:pPr>
              <w:jc w:val="left"/>
              <w:spacing w:before="200"/>
              <w:pStyle w:val="ImageCaption"/>
            </w:pPr>
            <w:r>
              <w:t xml:space="preserve">Figura 6: EVOLUÇÃO TEMPORAL DA REMUNERAÇÃO MÉDIA (2020-2024):Análise por Raça/Cor e Sexo - Município de Santos</w:t>
            </w:r>
          </w:p>
          <w:p>
            <w:pPr>
              <w:pStyle w:val="Compact"/>
              <w:jc w:val="center"/>
            </w:pPr>
            <w:r>
              <w:drawing>
                <wp:inline>
                  <wp:extent cx="5969000" cy="4263571"/>
                  <wp:effectExtent b="0" l="0" r="0" t="0"/>
                  <wp:docPr descr="" title="" id="44" name="Picture"/>
                  <a:graphic>
                    <a:graphicData uri="http://schemas.openxmlformats.org/drawingml/2006/picture">
                      <pic:pic>
                        <pic:nvPicPr>
                          <pic:cNvPr descr="rais-santos_files/figure-docx/fig-g_renda_sexo_raca-1.png" id="45" name="Picture"/>
                          <pic:cNvPicPr>
                            <a:picLocks noChangeArrowheads="1" noChangeAspect="1"/>
                          </pic:cNvPicPr>
                        </pic:nvPicPr>
                        <pic:blipFill>
                          <a:blip r:embed="rId43"/>
                          <a:stretch>
                            <a:fillRect/>
                          </a:stretch>
                        </pic:blipFill>
                        <pic:spPr bwMode="auto">
                          <a:xfrm>
                            <a:off x="0" y="0"/>
                            <a:ext cx="5969000" cy="4263571"/>
                          </a:xfrm>
                          <a:prstGeom prst="rect">
                            <a:avLst/>
                          </a:prstGeom>
                          <a:noFill/>
                          <a:ln w="9525">
                            <a:noFill/>
                            <a:headEnd/>
                            <a:tailEnd/>
                          </a:ln>
                        </pic:spPr>
                      </pic:pic>
                    </a:graphicData>
                  </a:graphic>
                </wp:inline>
              </w:drawing>
            </w:r>
          </w:p>
          <w:bookmarkEnd w:id="46"/>
        </w:tc>
      </w:tr>
    </w:tbl>
    <w:p>
      <w:pPr>
        <w:pStyle w:val="Corpodetexto"/>
      </w:pPr>
    </w:p>
    <w:tbl>
      <w:tblPr>
        <w:tblStyle w:val="Table"/>
        <w:tblW w:type="pct" w:w="5000"/>
        <w:tblLayout w:type="fixed"/>
        <w:tblLook w:firstRow="0" w:lastRow="0" w:firstColumn="0" w:lastColumn="0" w:noHBand="0" w:noVBand="0" w:val="0000"/>
      </w:tblPr>
      <w:tblGrid>
        <w:gridCol w:w="7920"/>
      </w:tblGrid>
      <w:tr>
        <w:tc>
          <w:tcPr/>
          <w:bookmarkStart w:id="47" w:name="tbl-tabela_resumo_santos"/>
          <w:p>
            <w:pPr>
              <w:jc w:val="center"/>
            </w:pPr>
            <w:pPr>
              <w:jc w:val="left"/>
              <w:spacing w:before="200"/>
              <w:pStyle w:val="ImageCaption"/>
            </w:pPr>
            <w:r>
              <w:t xml:space="preserve">Tabela 3: Renda Média por Sexo em Santos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867"/>
              <w:gridCol w:w="1374"/>
              <w:gridCol w:w="968"/>
              <w:gridCol w:w="1374"/>
              <w:gridCol w:w="968"/>
              <w:gridCol w:w="1374"/>
              <w:gridCol w:w="1374"/>
              <w:gridCol w:w="1305"/>
            </w:tblGrid>
            <w:tr>
              <w:trPr>
                <w:trHeight w:val="575" w:hRule="auto"/>
                <w:tblHeader/>
              </w:trPr>
              header1
              <w:tc>
                <w:tcPr>
                  <w:tcBorders>
                    <w:bottom w:val="single" w:sz="12" w:space="0" w:color="666666"/>
                    <w:top w:val="single" w:sz="12" w:space="0" w:color="000000"/>
                    <w:left w:val="single" w:sz="12" w:space="0" w:color="000000"/>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
                  </w:r>
                </w:p>
              </w:tc>
              <w:tc>
                <w:tcPr>
                  <w:gridSpan w:val="2"/>
                  <w:tcBorders>
                    <w:bottom w:val="single" w:sz="12" w:space="0" w:color="666666"/>
                    <w:top w:val="single" w:sz="12" w:space="0" w:color="000000"/>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FEMININO</w:t>
                  </w:r>
                </w:p>
              </w:tc>
              <w:tc>
                <w:tcPr>
                  <w:gridSpan w:val="2"/>
                  <w:tcBorders>
                    <w:bottom w:val="single" w:sz="12" w:space="0" w:color="666666"/>
                    <w:top w:val="single" w:sz="12" w:space="0" w:color="000000"/>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MASCULINO</w:t>
                  </w:r>
                </w:p>
              </w:tc>
              <w:tc>
                <w:tcPr>
                  <w:gridSpan w:val="2"/>
                  <w:tcBorders>
                    <w:bottom w:val="single" w:sz="12" w:space="0" w:color="666666"/>
                    <w:top w:val="single" w:sz="12" w:space="0" w:color="000000"/>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GERAL</w:t>
                  </w:r>
                </w:p>
              </w:tc>
              <w:tc>
                <w:tcPr>
                  <w:gridSpan w:val="2"/>
                  <w:tcBorders>
                    <w:bottom w:val="single" w:sz="12" w:space="0" w:color="666666"/>
                    <w:top w:val="single" w:sz="12" w:space="0" w:color="000000"/>
                    <w:left w:val="single" w:sz="6" w:space="0" w:color="CCCCCC"/>
                    <w:right w:val="single" w:sz="12" w:space="0" w:color="000000"/>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DIFERENÇAS</w:t>
                  </w:r>
                </w:p>
              </w:tc>
            </w:tr>
            <w:tr>
              <w:trPr>
                <w:trHeight w:val="584" w:hRule="auto"/>
                <w:tblHeader/>
              </w:trPr>
              header2
              <w:tc>
                <w:tcPr>
                  <w:tcBorders>
                    <w:bottom w:val="single" w:sz="12" w:space="0" w:color="000000"/>
                    <w:top w:val="single" w:sz="12" w:space="0" w:color="666666"/>
                    <w:left w:val="single" w:sz="12" w:space="0" w:color="000000"/>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Ano</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N</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Média R$</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N</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Média R$</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N</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Média R$</w:t>
                  </w:r>
                </w:p>
              </w:tc>
              <w:tc>
                <w:tcPr>
                  <w:tcBorders>
                    <w:bottom w:val="single" w:sz="12" w:space="0" w:color="000000"/>
                    <w:top w:val="single" w:sz="12" w:space="0" w:color="666666"/>
                    <w:left w:val="single" w:sz="6" w:space="0" w:color="CCCCCC"/>
                    <w:right w:val="single" w:sz="6" w:space="0" w:color="CCCCCC"/>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Absoluta</w:t>
                  </w:r>
                </w:p>
              </w:tc>
              <w:tc>
                <w:tcPr>
                  <w:tcBorders>
                    <w:bottom w:val="single" w:sz="12" w:space="0" w:color="000000"/>
                    <w:top w:val="single" w:sz="12" w:space="0" w:color="666666"/>
                    <w:left w:val="single" w:sz="6" w:space="0" w:color="CCCCCC"/>
                    <w:right w:val="single" w:sz="12" w:space="0" w:color="000000"/>
                  </w:tcBorders>
                  <w:shd w:val="clear" w:color="auto" w:fill="2C3E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Percentual</w:t>
                  </w:r>
                </w:p>
              </w:tc>
            </w:tr>
            <w:tr>
              <w:trPr>
                <w:trHeight w:val="588" w:hRule="auto"/>
              </w:trPr>
              body1
              <w:tc>
                <w:tcPr>
                  <w:tcBorders>
                    <w:bottom w:val="single" w:sz="6" w:space="0" w:color="CCCCCC"/>
                    <w:top w:val="single" w:sz="12" w:space="0" w:color="000000"/>
                    <w:left w:val="single" w:sz="12" w:space="0" w:color="000000"/>
                    <w:right w:val="single" w:sz="6"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2020</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2.840</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R$ 4.322,04</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 9.803</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R$ 5.282,54</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12.643</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R$ 5.066,78</w:t>
                  </w:r>
                </w:p>
              </w:tc>
              <w:tc>
                <w:tcPr>
                  <w:tcBorders>
                    <w:bottom w:val="single" w:sz="6" w:space="0" w:color="CCCCCC"/>
                    <w:top w:val="single" w:sz="12" w:space="0" w:color="000000"/>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R$ 960,50</w:t>
                  </w:r>
                </w:p>
              </w:tc>
              <w:tc>
                <w:tcPr>
                  <w:tcBorders>
                    <w:bottom w:val="single" w:sz="6" w:space="0" w:color="CCCCCC"/>
                    <w:top w:val="single" w:sz="12" w:space="0" w:color="000000"/>
                    <w:left w:val="single" w:sz="6" w:space="0" w:color="CCCCCC"/>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D627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D62728"/>
                    </w:rPr>
                    <w:t xml:space="preserve">+22.2%</w:t>
                  </w:r>
                </w:p>
              </w:tc>
            </w:tr>
            <w:tr>
              <w:trPr>
                <w:trHeight w:val="588" w:hRule="auto"/>
              </w:trPr>
              body2
              <w:tc>
                <w:tcPr>
                  <w:tcBorders>
                    <w:bottom w:val="single" w:sz="6" w:space="0" w:color="CCCCCC"/>
                    <w:top w:val="single" w:sz="6" w:space="0" w:color="CCCCCC"/>
                    <w:left w:val="single" w:sz="12" w:space="0" w:color="000000"/>
                    <w:right w:val="single" w:sz="6"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2021</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3.072</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R$ 4.453,51</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10.099</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R$ 5.495,24</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13.171</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R$ 5.252,27</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R$ 1.041,72</w:t>
                  </w:r>
                </w:p>
              </w:tc>
              <w:tc>
                <w:tcPr>
                  <w:tcBorders>
                    <w:bottom w:val="single" w:sz="6" w:space="0" w:color="CCCCCC"/>
                    <w:top w:val="single" w:sz="6" w:space="0" w:color="CCCCCC"/>
                    <w:left w:val="single" w:sz="6" w:space="0" w:color="CCCCCC"/>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D627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D62728"/>
                    </w:rPr>
                    <w:t xml:space="preserve">+23.4%</w:t>
                  </w:r>
                </w:p>
              </w:tc>
            </w:tr>
            <w:tr>
              <w:trPr>
                <w:trHeight w:val="588" w:hRule="auto"/>
              </w:trPr>
              body3
              <w:tc>
                <w:tcPr>
                  <w:tcBorders>
                    <w:bottom w:val="single" w:sz="6" w:space="0" w:color="CCCCCC"/>
                    <w:top w:val="single" w:sz="6" w:space="0" w:color="CCCCCC"/>
                    <w:left w:val="single" w:sz="12" w:space="0" w:color="000000"/>
                    <w:right w:val="single" w:sz="6"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2022</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3.440</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R$ 5.483,60</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10.973</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R$ 6.444,93</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14.413</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R$ 6.215,49</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R$ 961,33</w:t>
                  </w:r>
                </w:p>
              </w:tc>
              <w:tc>
                <w:tcPr>
                  <w:tcBorders>
                    <w:bottom w:val="single" w:sz="6" w:space="0" w:color="CCCCCC"/>
                    <w:top w:val="single" w:sz="6" w:space="0" w:color="CCCCCC"/>
                    <w:left w:val="single" w:sz="6" w:space="0" w:color="CCCCCC"/>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D627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D62728"/>
                    </w:rPr>
                    <w:t xml:space="preserve">+17.5%</w:t>
                  </w:r>
                </w:p>
              </w:tc>
            </w:tr>
            <w:tr>
              <w:trPr>
                <w:trHeight w:val="588" w:hRule="auto"/>
              </w:trPr>
              body4
              <w:tc>
                <w:tcPr>
                  <w:tcBorders>
                    <w:bottom w:val="single" w:sz="6" w:space="0" w:color="CCCCCC"/>
                    <w:top w:val="single" w:sz="6" w:space="0" w:color="CCCCCC"/>
                    <w:left w:val="single" w:sz="12" w:space="0" w:color="000000"/>
                    <w:right w:val="single" w:sz="6"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2023</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3.618</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R$ 5.202,32</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11.006</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R$ 6.516,75</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14.624</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R$ 6.191,56</w:t>
                  </w:r>
                </w:p>
              </w:tc>
              <w:tc>
                <w:tcPr>
                  <w:tcBorders>
                    <w:bottom w:val="single" w:sz="6" w:space="0" w:color="CCCCCC"/>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R$ 1.314,44</w:t>
                  </w:r>
                </w:p>
              </w:tc>
              <w:tc>
                <w:tcPr>
                  <w:tcBorders>
                    <w:bottom w:val="single" w:sz="6" w:space="0" w:color="CCCCCC"/>
                    <w:top w:val="single" w:sz="6" w:space="0" w:color="CCCCCC"/>
                    <w:left w:val="single" w:sz="6" w:space="0" w:color="CCCCCC"/>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D627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D62728"/>
                    </w:rPr>
                    <w:t xml:space="preserve">+25.3%</w:t>
                  </w:r>
                </w:p>
              </w:tc>
            </w:tr>
            <w:tr>
              <w:trPr>
                <w:trHeight w:val="588" w:hRule="auto"/>
              </w:trPr>
              body5
              <w:tc>
                <w:tcPr>
                  <w:tcBorders>
                    <w:bottom w:val="single" w:sz="12" w:space="0" w:color="000000"/>
                    <w:top w:val="single" w:sz="6" w:space="0" w:color="CCCCCC"/>
                    <w:left w:val="single" w:sz="12" w:space="0" w:color="000000"/>
                    <w:right w:val="single" w:sz="6"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2024</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4.115</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R$ 5.339,16</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12.836</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R$ 6.661,05</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16.951</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R$ 6.340,15</w:t>
                  </w:r>
                </w:p>
              </w:tc>
              <w:tc>
                <w:tcPr>
                  <w:tcBorders>
                    <w:bottom w:val="single" w:sz="12" w:space="0" w:color="000000"/>
                    <w:top w:val="single" w:sz="6" w:space="0" w:color="CCCCCC"/>
                    <w:left w:val="single" w:sz="6" w:space="0" w:color="CCCCCC"/>
                    <w:right w:val="single" w:sz="6" w:space="0" w:color="CCCCCC"/>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R$ 1.321,90</w:t>
                  </w:r>
                </w:p>
              </w:tc>
              <w:tc>
                <w:tcPr>
                  <w:tcBorders>
                    <w:bottom w:val="single" w:sz="12" w:space="0" w:color="000000"/>
                    <w:top w:val="single" w:sz="6" w:space="0" w:color="CCCCCC"/>
                    <w:left w:val="single" w:sz="6" w:space="0" w:color="CCCCCC"/>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D627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D62728"/>
                    </w:rPr>
                    <w:t xml:space="preserve">+24.8%</w:t>
                  </w:r>
                </w:p>
              </w:tc>
            </w:tr>
            <w:tr>
              <w:trPr>
                <w:trHeight w:val="360" w:hRule="auto"/>
              </w:trPr>
              footer1
              <w:tc>
                <w:tcPr>
                  <w:gridSpan w:val="9"/>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Fonte: Observatório Portuário - Dados da RAIS</w:t>
                  </w:r>
                </w:p>
              </w:tc>
            </w:tr>
          </w:tbl>
          <w:bookmarkEnd w:id="47"/>
        </w:tc>
      </w:tr>
    </w:tbl>
    <w:bookmarkEnd w:id="48"/>
    <w:bookmarkStart w:id="66" w:name="X6a5d8f4360206f5c0222b2f29092e322be753d5"/>
    <w:p>
      <w:pPr>
        <w:pStyle w:val="Ttulo2"/>
      </w:pPr>
      <w:r>
        <w:t xml:space="preserve">3.2 Perfil do Trabalhador Portuário e Aquaviário em Guarujá</w:t>
      </w:r>
    </w:p>
    <w:p>
      <w:pPr>
        <w:pStyle w:val="FirstParagraph"/>
      </w:pPr>
      <w:r>
        <w:t xml:space="preserve">Ao analisar o perfil dos trabalhadores portuários e aquaviários de Guarujá por sexo, observa-se que a participação masculina também é predominante. Em 2024, 3.821 eram homens, sendo apenas 570 mulheres.</w:t>
      </w:r>
    </w:p>
    <w:tbl>
      <w:tblPr>
        <w:tblStyle w:val="Table"/>
        <w:tblW w:type="pct" w:w="5000"/>
        <w:tblLayout w:type="fixed"/>
        <w:tblLook w:firstRow="0" w:lastRow="0" w:firstColumn="0" w:lastColumn="0" w:noHBand="0" w:noVBand="0" w:val="0000"/>
      </w:tblPr>
      <w:tblGrid>
        <w:gridCol w:w="7920"/>
      </w:tblGrid>
      <w:tr>
        <w:tc>
          <w:tcPr/>
          <w:bookmarkStart w:id="52" w:name="fig-vincu-guaruja"/>
          <w:p>
            <w:pPr>
              <w:jc w:val="center"/>
            </w:pPr>
            <w:pPr>
              <w:jc w:val="left"/>
              <w:spacing w:before="200"/>
              <w:pStyle w:val="ImageCaption"/>
            </w:pPr>
            <w:r>
              <w:t xml:space="preserve">Figura 7: Evolução dos Vínculos por Sexo em Guarujá (2020-2024): Distribuição entre masculino e feminino</w:t>
            </w:r>
          </w:p>
          <w:p>
            <w:pPr>
              <w:pStyle w:val="Compact"/>
              <w:jc w:val="center"/>
            </w:pPr>
            <w:r>
              <w:drawing>
                <wp:inline>
                  <wp:extent cx="5969000" cy="4263571"/>
                  <wp:effectExtent b="0" l="0" r="0" t="0"/>
                  <wp:docPr descr="" title="" id="50" name="Picture"/>
                  <a:graphic>
                    <a:graphicData uri="http://schemas.openxmlformats.org/drawingml/2006/picture">
                      <pic:pic>
                        <pic:nvPicPr>
                          <pic:cNvPr descr="rais-santos_files/figure-docx/fig-vincu-guaruja-1.png" id="51" name="Picture"/>
                          <pic:cNvPicPr>
                            <a:picLocks noChangeArrowheads="1" noChangeAspect="1"/>
                          </pic:cNvPicPr>
                        </pic:nvPicPr>
                        <pic:blipFill>
                          <a:blip r:embed="rId49"/>
                          <a:stretch>
                            <a:fillRect/>
                          </a:stretch>
                        </pic:blipFill>
                        <pic:spPr bwMode="auto">
                          <a:xfrm>
                            <a:off x="0" y="0"/>
                            <a:ext cx="5969000" cy="4263571"/>
                          </a:xfrm>
                          <a:prstGeom prst="rect">
                            <a:avLst/>
                          </a:prstGeom>
                          <a:noFill/>
                          <a:ln w="9525">
                            <a:noFill/>
                            <a:headEnd/>
                            <a:tailEnd/>
                          </a:ln>
                        </pic:spPr>
                      </pic:pic>
                    </a:graphicData>
                  </a:graphic>
                </wp:inline>
              </w:drawing>
            </w:r>
          </w:p>
          <w:bookmarkEnd w:id="52"/>
        </w:tc>
      </w:tr>
    </w:tbl>
    <w:p>
      <w:pPr>
        <w:pStyle w:val="Corpodetexto"/>
      </w:pPr>
      <w:r>
        <w:t xml:space="preserve">Ao analisar a relação entre sexo e grau de instrução em Guarujá, observa-se padrões similares aos de Santos. As mulheres, apesar de minoria no setor, apresentam maior proporção com ensino superior completo, enquanto a maioria dos homens possui ensino médio completo como nível educacional mais elevado.</w:t>
      </w:r>
    </w:p>
    <w:tbl>
      <w:tblPr>
        <w:tblStyle w:val="Table"/>
        <w:tblW w:type="pct" w:w="5000"/>
        <w:tblLayout w:type="fixed"/>
        <w:tblLook w:firstRow="0" w:lastRow="0" w:firstColumn="0" w:lastColumn="0" w:noHBand="0" w:noVBand="0" w:val="0000"/>
      </w:tblPr>
      <w:tblGrid>
        <w:gridCol w:w="7920"/>
      </w:tblGrid>
      <w:tr>
        <w:tc>
          <w:tcPr/>
          <w:bookmarkStart w:id="56" w:name="fig-dados_sexo_escol_guaruj"/>
          <w:p>
            <w:pPr>
              <w:jc w:val="center"/>
            </w:pPr>
            <w:pPr>
              <w:jc w:val="left"/>
              <w:spacing w:before="200"/>
              <w:pStyle w:val="ImageCaption"/>
            </w:pPr>
            <w:r>
              <w:t xml:space="preserve">Figura 8: Distribuição Educacional por Sexo em Guarujá (2020-2024): Perfil similar a Santos: mulheres com maior qualificação educacional</w:t>
            </w:r>
          </w:p>
          <w:p>
            <w:pPr>
              <w:pStyle w:val="Compact"/>
              <w:jc w:val="center"/>
            </w:pPr>
            <w:r>
              <w:drawing>
                <wp:inline>
                  <wp:extent cx="5969000" cy="4263571"/>
                  <wp:effectExtent b="0" l="0" r="0" t="0"/>
                  <wp:docPr descr="" title="" id="54" name="Picture"/>
                  <a:graphic>
                    <a:graphicData uri="http://schemas.openxmlformats.org/drawingml/2006/picture">
                      <pic:pic>
                        <pic:nvPicPr>
                          <pic:cNvPr descr="rais-santos_files/figure-docx/fig-dados_sexo_escol_guaruj-1.png" id="55" name="Picture"/>
                          <pic:cNvPicPr>
                            <a:picLocks noChangeArrowheads="1" noChangeAspect="1"/>
                          </pic:cNvPicPr>
                        </pic:nvPicPr>
                        <pic:blipFill>
                          <a:blip r:embed="rId53"/>
                          <a:stretch>
                            <a:fillRect/>
                          </a:stretch>
                        </pic:blipFill>
                        <pic:spPr bwMode="auto">
                          <a:xfrm>
                            <a:off x="0" y="0"/>
                            <a:ext cx="5969000" cy="4263571"/>
                          </a:xfrm>
                          <a:prstGeom prst="rect">
                            <a:avLst/>
                          </a:prstGeom>
                          <a:noFill/>
                          <a:ln w="9525">
                            <a:noFill/>
                            <a:headEnd/>
                            <a:tailEnd/>
                          </a:ln>
                        </pic:spPr>
                      </pic:pic>
                    </a:graphicData>
                  </a:graphic>
                </wp:inline>
              </w:drawing>
            </w:r>
          </w:p>
          <w:bookmarkEnd w:id="56"/>
        </w:tc>
      </w:tr>
    </w:tbl>
    <w:p>
      <w:pPr>
        <w:pStyle w:val="Corpodetexto"/>
      </w:pPr>
    </w:p>
    <w:tbl>
      <w:tblPr>
        <w:tblStyle w:val="Table"/>
        <w:tblW w:type="pct" w:w="5000"/>
        <w:tblLayout w:type="fixed"/>
        <w:tblLook w:firstRow="0" w:lastRow="0" w:firstColumn="0" w:lastColumn="0" w:noHBand="0" w:noVBand="0" w:val="0000"/>
      </w:tblPr>
      <w:tblGrid>
        <w:gridCol w:w="7920"/>
      </w:tblGrid>
      <w:tr>
        <w:tc>
          <w:tcPr/>
          <w:bookmarkStart w:id="60" w:name="fig-raca-sexo-guaruja"/>
          <w:p>
            <w:pPr>
              <w:jc w:val="center"/>
            </w:pPr>
            <w:pPr>
              <w:jc w:val="left"/>
              <w:spacing w:before="200"/>
              <w:pStyle w:val="ImageCaption"/>
            </w:pPr>
            <w:r>
              <w:t xml:space="preserve">Figura 9: Evolução da Remuneração Média por Raça/Cor e Sexo - Guarujá (2020-2024)</w:t>
            </w:r>
          </w:p>
          <w:p>
            <w:pPr>
              <w:pStyle w:val="Compact"/>
              <w:jc w:val="center"/>
            </w:pPr>
            <w:r>
              <w:drawing>
                <wp:inline>
                  <wp:extent cx="5969000" cy="4263571"/>
                  <wp:effectExtent b="0" l="0" r="0" t="0"/>
                  <wp:docPr descr="" title="" id="58" name="Picture"/>
                  <a:graphic>
                    <a:graphicData uri="http://schemas.openxmlformats.org/drawingml/2006/picture">
                      <pic:pic>
                        <pic:nvPicPr>
                          <pic:cNvPr descr="rais-santos_files/figure-docx/fig-raca-sexo-guaruja-1.png" id="59" name="Picture"/>
                          <pic:cNvPicPr>
                            <a:picLocks noChangeArrowheads="1" noChangeAspect="1"/>
                          </pic:cNvPicPr>
                        </pic:nvPicPr>
                        <pic:blipFill>
                          <a:blip r:embed="rId57"/>
                          <a:stretch>
                            <a:fillRect/>
                          </a:stretch>
                        </pic:blipFill>
                        <pic:spPr bwMode="auto">
                          <a:xfrm>
                            <a:off x="0" y="0"/>
                            <a:ext cx="5969000" cy="4263571"/>
                          </a:xfrm>
                          <a:prstGeom prst="rect">
                            <a:avLst/>
                          </a:prstGeom>
                          <a:noFill/>
                          <a:ln w="9525">
                            <a:noFill/>
                            <a:headEnd/>
                            <a:tailEnd/>
                          </a:ln>
                        </pic:spPr>
                      </pic:pic>
                    </a:graphicData>
                  </a:graphic>
                </wp:inline>
              </w:drawing>
            </w:r>
          </w:p>
          <w:bookmarkEnd w:id="60"/>
        </w:tc>
      </w:tr>
    </w:tbl>
    <w:p>
      <w:pPr>
        <w:pStyle w:val="Corpodetexto"/>
      </w:pPr>
    </w:p>
    <w:bookmarkStart w:id="65" w:name="comparativo-entre-santos-e-guarujá"/>
    <w:p>
      <w:pPr>
        <w:pStyle w:val="Ttulo3"/>
      </w:pPr>
      <w:r>
        <w:t xml:space="preserve">3.2.1 Comparativo entre Santos e Guarujá</w:t>
      </w:r>
    </w:p>
    <w:tbl>
      <w:tblPr>
        <w:tblStyle w:val="Table"/>
        <w:tblW w:type="pct" w:w="5000"/>
        <w:tblLayout w:type="fixed"/>
        <w:tblLook w:firstRow="0" w:lastRow="0" w:firstColumn="0" w:lastColumn="0" w:noHBand="0" w:noVBand="0" w:val="0000"/>
      </w:tblPr>
      <w:tblGrid>
        <w:gridCol w:w="7920"/>
      </w:tblGrid>
      <w:tr>
        <w:tc>
          <w:tcPr/>
          <w:bookmarkStart w:id="64" w:name="fig-comparativo-santos-guaruja"/>
          <w:p>
            <w:pPr>
              <w:jc w:val="center"/>
            </w:pPr>
            <w:pPr>
              <w:jc w:val="left"/>
              <w:spacing w:before="200"/>
              <w:pStyle w:val="ImageCaption"/>
            </w:pPr>
            <w:r>
              <w:t xml:space="preserve">Figura 10: Comparativo entre Santos e Guarujá - Remuneração Média (2024)</w:t>
            </w:r>
          </w:p>
          <w:p>
            <w:pPr>
              <w:pStyle w:val="Compact"/>
              <w:jc w:val="center"/>
            </w:pPr>
            <w:r>
              <w:drawing>
                <wp:inline>
                  <wp:extent cx="5969000" cy="4263571"/>
                  <wp:effectExtent b="0" l="0" r="0" t="0"/>
                  <wp:docPr descr="" title="" id="62" name="Picture"/>
                  <a:graphic>
                    <a:graphicData uri="http://schemas.openxmlformats.org/drawingml/2006/picture">
                      <pic:pic>
                        <pic:nvPicPr>
                          <pic:cNvPr descr="rais-santos_files/figure-docx/fig-comparativo-santos-guaruja-1.png" id="63" name="Picture"/>
                          <pic:cNvPicPr>
                            <a:picLocks noChangeArrowheads="1" noChangeAspect="1"/>
                          </pic:cNvPicPr>
                        </pic:nvPicPr>
                        <pic:blipFill>
                          <a:blip r:embed="rId61"/>
                          <a:stretch>
                            <a:fillRect/>
                          </a:stretch>
                        </pic:blipFill>
                        <pic:spPr bwMode="auto">
                          <a:xfrm>
                            <a:off x="0" y="0"/>
                            <a:ext cx="5969000" cy="4263571"/>
                          </a:xfrm>
                          <a:prstGeom prst="rect">
                            <a:avLst/>
                          </a:prstGeom>
                          <a:noFill/>
                          <a:ln w="9525">
                            <a:noFill/>
                            <a:headEnd/>
                            <a:tailEnd/>
                          </a:ln>
                        </pic:spPr>
                      </pic:pic>
                    </a:graphicData>
                  </a:graphic>
                </wp:inline>
              </w:drawing>
            </w:r>
          </w:p>
          <w:bookmarkEnd w:id="64"/>
        </w:tc>
      </w:tr>
    </w:tbl>
    <w:bookmarkEnd w:id="65"/>
    <w:bookmarkEnd w:id="66"/>
    <w:bookmarkEnd w:id="67"/>
    <w:sectPr w:rsidR="00B93128" w:rsidSect="00A335F0">
      <w:pgSz w:h="15840" w:w="12240"/>
      <w:pgMar w:bottom="1134" w:footer="720" w:gutter="0" w:header="720" w:left="1701" w:right="1134" w:top="170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C17AF39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818D3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9D20A5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1EE237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1DE5A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2F7AD80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B14AC2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730E3D4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E042E3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DD6F3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72906B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67197654" w:numId="1">
    <w:abstractNumId w:val="10"/>
  </w:num>
  <w:num w16cid:durableId="1085296904" w:numId="2">
    <w:abstractNumId w:val="9"/>
  </w:num>
  <w:num w16cid:durableId="1893269668" w:numId="3">
    <w:abstractNumId w:val="7"/>
  </w:num>
  <w:num w16cid:durableId="1199469094" w:numId="4">
    <w:abstractNumId w:val="6"/>
  </w:num>
  <w:num w16cid:durableId="713118910" w:numId="5">
    <w:abstractNumId w:val="5"/>
  </w:num>
  <w:num w16cid:durableId="1238133774" w:numId="6">
    <w:abstractNumId w:val="4"/>
  </w:num>
  <w:num w16cid:durableId="1756199726" w:numId="7">
    <w:abstractNumId w:val="8"/>
  </w:num>
  <w:num w16cid:durableId="1556239175" w:numId="8">
    <w:abstractNumId w:val="3"/>
  </w:num>
  <w:num w16cid:durableId="650526427" w:numId="9">
    <w:abstractNumId w:val="2"/>
  </w:num>
  <w:num w16cid:durableId="60063097" w:numId="10">
    <w:abstractNumId w:val="1"/>
  </w:num>
  <w:num w16cid:durableId="1242564497"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0"/>
  </w:docVars>
  <w:rsids>
    <w:rsidRoot w:val="00B93128"/>
    <w:rsid w:val="00092B5C"/>
    <w:rsid w:val="000F7103"/>
    <w:rsid w:val="0010017A"/>
    <w:rsid w:val="0023500F"/>
    <w:rsid w:val="00261A54"/>
    <w:rsid w:val="0044784A"/>
    <w:rsid w:val="006A1902"/>
    <w:rsid w:val="00780B8B"/>
    <w:rsid w:val="007966ED"/>
    <w:rsid w:val="007C5932"/>
    <w:rsid w:val="007F0C58"/>
    <w:rsid w:val="008F36FE"/>
    <w:rsid w:val="009814AF"/>
    <w:rsid w:val="00A11D9E"/>
    <w:rsid w:val="00A335F0"/>
    <w:rsid w:val="00AB0674"/>
    <w:rsid w:val="00B836BB"/>
    <w:rsid w:val="00B93128"/>
    <w:rsid w:val="00C20AAE"/>
    <w:rsid w:val="00C50D44"/>
    <w:rsid w:val="00DC7977"/>
    <w:rsid w:val="00DD0DEF"/>
    <w:rsid w:val="00E17A0E"/>
    <w:rsid w:val="00E23C5F"/>
    <w:rsid w:val="00E61DF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uiPriority w:val="9"/>
    <w:qFormat/>
    <w:rsid w:val="00E17A0E"/>
    <w:pPr>
      <w:keepNext/>
      <w:keepLines/>
      <w:spacing w:after="120" w:before="480" w:line="360" w:lineRule="auto"/>
      <w:outlineLvl w:val="0"/>
    </w:pPr>
    <w:rPr>
      <w:rFonts w:ascii="Arial" w:cstheme="majorBidi" w:eastAsiaTheme="majorEastAsia" w:hAnsi="Arial"/>
      <w:b/>
      <w:bCs/>
      <w:color w:themeColor="accent1" w:val="4F81BD"/>
      <w:sz w:val="32"/>
      <w:szCs w:val="32"/>
    </w:rPr>
  </w:style>
  <w:style w:styleId="Ttulo2" w:type="paragraph">
    <w:name w:val="heading 2"/>
    <w:basedOn w:val="Normal"/>
    <w:next w:val="Corpodetexto"/>
    <w:uiPriority w:val="9"/>
    <w:unhideWhenUsed/>
    <w:qFormat/>
    <w:rsid w:val="00E17A0E"/>
    <w:pPr>
      <w:keepNext/>
      <w:keepLines/>
      <w:spacing w:after="120" w:before="200" w:line="360" w:lineRule="auto"/>
      <w:outlineLvl w:val="1"/>
    </w:pPr>
    <w:rPr>
      <w:rFonts w:ascii="Arial" w:cstheme="majorBidi" w:eastAsiaTheme="majorEastAsia" w:hAnsi="Arial"/>
      <w:b/>
      <w:bCs/>
      <w:color w:themeColor="accent1" w:val="4F81BD"/>
      <w:sz w:val="28"/>
      <w:szCs w:val="28"/>
    </w:rPr>
  </w:style>
  <w:style w:styleId="Ttulo3" w:type="paragraph">
    <w:name w:val="heading 3"/>
    <w:basedOn w:val="Normal"/>
    <w:next w:val="Corpodetexto"/>
    <w:uiPriority w:val="9"/>
    <w:unhideWhenUsed/>
    <w:qFormat/>
    <w:rsid w:val="00E17A0E"/>
    <w:pPr>
      <w:keepNext/>
      <w:keepLines/>
      <w:spacing w:after="120" w:before="200" w:line="360" w:lineRule="auto"/>
      <w:outlineLvl w:val="2"/>
    </w:pPr>
    <w:rPr>
      <w:rFonts w:ascii="Arial" w:cstheme="majorBidi" w:eastAsiaTheme="majorEastAsia" w:hAnsi="Arial"/>
      <w:b/>
      <w:bCs/>
      <w:color w:themeColor="accent1" w:val="4F81BD"/>
    </w:rPr>
  </w:style>
  <w:style w:styleId="Ttulo4" w:type="paragraph">
    <w:name w:val="heading 4"/>
    <w:basedOn w:val="Normal"/>
    <w:next w:val="Corpodetexto"/>
    <w:uiPriority w:val="9"/>
    <w:unhideWhenUsed/>
    <w:qFormat/>
    <w:rsid w:val="00E17A0E"/>
    <w:pPr>
      <w:keepNext/>
      <w:keepLines/>
      <w:spacing w:after="120" w:before="200" w:line="360" w:lineRule="auto"/>
      <w:outlineLvl w:val="3"/>
    </w:pPr>
    <w:rPr>
      <w:rFonts w:ascii="Arial" w:cstheme="majorBidi" w:eastAsiaTheme="majorEastAsia" w:hAnsi="Arial"/>
      <w:bCs/>
      <w:i/>
      <w:color w:themeColor="accent1" w:val="4F81BD"/>
    </w:rPr>
  </w:style>
  <w:style w:styleId="Ttulo5" w:type="paragraph">
    <w:name w:val="heading 5"/>
    <w:basedOn w:val="Normal"/>
    <w:next w:val="Corpodetexto"/>
    <w:uiPriority w:val="9"/>
    <w:unhideWhenUsed/>
    <w:qFormat/>
    <w:rsid w:val="00E17A0E"/>
    <w:pPr>
      <w:keepNext/>
      <w:keepLines/>
      <w:spacing w:after="120" w:before="200" w:line="360" w:lineRule="auto"/>
      <w:outlineLvl w:val="4"/>
    </w:pPr>
    <w:rPr>
      <w:rFonts w:ascii="Arial" w:cstheme="majorBidi" w:eastAsiaTheme="majorEastAsia" w:hAnsi="Arial"/>
      <w:iCs/>
      <w:color w:themeColor="accent1" w:val="4F81BD"/>
    </w:rPr>
  </w:style>
  <w:style w:styleId="Ttulo6" w:type="paragraph">
    <w:name w:val="heading 6"/>
    <w:basedOn w:val="Normal"/>
    <w:next w:val="Corpodetexto"/>
    <w:uiPriority w:val="9"/>
    <w:unhideWhenUsed/>
    <w:qFormat/>
    <w:rsid w:val="00E17A0E"/>
    <w:pPr>
      <w:keepNext/>
      <w:keepLines/>
      <w:spacing w:after="120" w:before="200" w:line="360" w:lineRule="auto"/>
      <w:outlineLvl w:val="5"/>
    </w:pPr>
    <w:rPr>
      <w:rFonts w:ascii="Arial" w:cstheme="majorBidi" w:eastAsiaTheme="majorEastAsia" w:hAnsi="Arial"/>
      <w:color w:themeColor="accent1" w:val="4F81BD"/>
    </w:rPr>
  </w:style>
  <w:style w:styleId="Ttulo7" w:type="paragraph">
    <w:name w:val="heading 7"/>
    <w:basedOn w:val="Normal"/>
    <w:next w:val="Corpodetexto"/>
    <w:uiPriority w:val="9"/>
    <w:unhideWhenUsed/>
    <w:qFormat/>
    <w:rsid w:val="00E17A0E"/>
    <w:pPr>
      <w:keepNext/>
      <w:keepLines/>
      <w:spacing w:after="120" w:before="200" w:line="360" w:lineRule="auto"/>
      <w:outlineLvl w:val="6"/>
    </w:pPr>
    <w:rPr>
      <w:rFonts w:ascii="Arial" w:cstheme="majorBidi" w:eastAsiaTheme="majorEastAsia" w:hAnsi="Arial"/>
      <w:color w:themeColor="accent1" w:val="4F81BD"/>
    </w:rPr>
  </w:style>
  <w:style w:styleId="Ttulo8" w:type="paragraph">
    <w:name w:val="heading 8"/>
    <w:basedOn w:val="Normal"/>
    <w:next w:val="Corpodetexto"/>
    <w:uiPriority w:val="9"/>
    <w:unhideWhenUsed/>
    <w:qFormat/>
    <w:rsid w:val="00E17A0E"/>
    <w:pPr>
      <w:keepNext/>
      <w:keepLines/>
      <w:spacing w:after="120" w:before="200" w:line="360" w:lineRule="auto"/>
      <w:outlineLvl w:val="7"/>
    </w:pPr>
    <w:rPr>
      <w:rFonts w:ascii="Arial" w:cstheme="majorBidi" w:eastAsiaTheme="majorEastAsia" w:hAnsi="Arial"/>
      <w:color w:themeColor="accent1" w:val="4F81BD"/>
    </w:rPr>
  </w:style>
  <w:style w:styleId="Ttulo9" w:type="paragraph">
    <w:name w:val="heading 9"/>
    <w:basedOn w:val="Normal"/>
    <w:next w:val="Corpodetexto"/>
    <w:uiPriority w:val="9"/>
    <w:unhideWhenUsed/>
    <w:qFormat/>
    <w:rsid w:val="00E17A0E"/>
    <w:pPr>
      <w:keepNext/>
      <w:keepLines/>
      <w:spacing w:after="120" w:before="200" w:line="360" w:lineRule="auto"/>
      <w:outlineLvl w:val="8"/>
    </w:pPr>
    <w:rPr>
      <w:rFonts w:ascii="Arial" w:cstheme="majorBidi" w:eastAsiaTheme="majorEastAsia" w:hAnsi="Arial"/>
      <w:color w:themeColor="accent1" w:val="4F81BD"/>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link w:val="CorpodetextoChar"/>
    <w:qFormat/>
    <w:rsid w:val="00E23C5F"/>
    <w:pPr>
      <w:spacing w:after="0" w:line="360" w:lineRule="auto"/>
      <w:ind w:firstLine="1134"/>
      <w:jc w:val="both"/>
    </w:pPr>
    <w:rPr>
      <w:rFonts w:ascii="Arial" w:hAnsi="Arial"/>
    </w:rPr>
  </w:style>
  <w:style w:customStyle="1" w:styleId="FirstParagraph" w:type="paragraph">
    <w:name w:val="First Paragraph"/>
    <w:basedOn w:val="Corpodetexto"/>
    <w:next w:val="Corpodetexto"/>
    <w:qFormat/>
    <w:rsid w:val="00C50D44"/>
  </w:style>
  <w:style w:customStyle="1" w:styleId="Compact" w:type="paragraph">
    <w:name w:val="Compact"/>
    <w:basedOn w:val="Corpodetexto"/>
    <w:qFormat/>
    <w:rsid w:val="009814AF"/>
    <w:pPr>
      <w:spacing w:line="240" w:lineRule="auto"/>
      <w:ind w:firstLine="0"/>
    </w:pPr>
    <w:rPr>
      <w:sz w:val="20"/>
    </w:rPr>
  </w:style>
  <w:style w:styleId="Ttulo" w:type="paragraph">
    <w:name w:val="Title"/>
    <w:basedOn w:val="Normal"/>
    <w:next w:val="Corpodetexto"/>
    <w:qFormat/>
    <w:rsid w:val="00C50D44"/>
    <w:pPr>
      <w:keepNext/>
      <w:keepLines/>
      <w:spacing w:after="240" w:before="480"/>
      <w:jc w:val="center"/>
    </w:pPr>
    <w:rPr>
      <w:rFonts w:ascii="Arial" w:cstheme="majorBidi" w:eastAsiaTheme="majorEastAsia" w:hAnsi="Arial"/>
      <w:b/>
      <w:bCs/>
      <w:color w:themeColor="accent1" w:themeShade="B5" w:val="345A8A"/>
      <w:sz w:val="36"/>
      <w:szCs w:val="36"/>
    </w:rPr>
  </w:style>
  <w:style w:styleId="Subttulo" w:type="paragraph">
    <w:name w:val="Subtitle"/>
    <w:basedOn w:val="Ttulo"/>
    <w:next w:val="Corpodetexto"/>
    <w:qFormat/>
    <w:pPr>
      <w:spacing w:before="240"/>
    </w:pPr>
    <w:rPr>
      <w:sz w:val="30"/>
      <w:szCs w:val="30"/>
    </w:rPr>
  </w:style>
  <w:style w:customStyle="1" w:styleId="Author" w:type="paragraph">
    <w:name w:val="Author"/>
    <w:next w:val="Corpodetexto"/>
    <w:qFormat/>
    <w:rsid w:val="00C50D44"/>
    <w:pPr>
      <w:keepNext/>
      <w:keepLines/>
      <w:jc w:val="center"/>
    </w:pPr>
    <w:rPr>
      <w:rFonts w:ascii="Arial" w:hAnsi="Arial"/>
    </w:rPr>
  </w:style>
  <w:style w:styleId="Data" w:type="paragraph">
    <w:name w:val="Date"/>
    <w:next w:val="Corpodetexto"/>
    <w:qFormat/>
    <w:rsid w:val="00C50D44"/>
    <w:pPr>
      <w:keepNext/>
      <w:keepLines/>
      <w:jc w:val="center"/>
    </w:pPr>
    <w:rPr>
      <w:rFonts w:ascii="Arial" w:hAnsi="Arial"/>
    </w:rPr>
  </w:style>
  <w:style w:customStyle="1" w:styleId="Abstract" w:type="paragraph">
    <w:name w:val="Abstract"/>
    <w:basedOn w:val="Normal"/>
    <w:next w:val="Corpodetexto"/>
    <w:qFormat/>
    <w:pPr>
      <w:keepNext/>
      <w:keepLines/>
      <w:spacing w:after="300" w:before="300"/>
    </w:pPr>
    <w:rPr>
      <w:sz w:val="20"/>
      <w:szCs w:val="20"/>
    </w:rPr>
  </w:style>
  <w:style w:styleId="Bibliografia" w:type="paragraph">
    <w:name w:val="Bibliography"/>
    <w:basedOn w:val="Normal"/>
    <w:qFormat/>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uiPriority w:val="9"/>
    <w:unhideWhenUsed/>
    <w:qFormat/>
    <w:rsid w:val="007C5932"/>
    <w:pPr>
      <w:spacing w:after="0"/>
    </w:pPr>
    <w:rPr>
      <w:rFonts w:ascii="Arial" w:hAnsi="Arial"/>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4F81BD"/>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CorpodetextoChar" w:type="character">
    <w:name w:val="Corpo de texto Char"/>
    <w:basedOn w:val="Fontepargpadro"/>
    <w:link w:val="Corpodetexto"/>
    <w:rsid w:val="00E23C5F"/>
    <w:rPr>
      <w:rFonts w:ascii="Arial" w:hAnsi="Arial"/>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3" Target="media/rId53.png" /><Relationship Type="http://schemas.openxmlformats.org/officeDocument/2006/relationships/image" Id="rId43" Target="media/rId43.png" /><Relationship Type="http://schemas.openxmlformats.org/officeDocument/2006/relationships/image" Id="rId21" Target="media/rId21.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57" Target="media/rId57.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66</Words>
  <Characters>359</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 de Trabalho no Setor Portuário</dc:title>
  <dc:creator/>
  <dc:language>pt</dc:language>
  <cp:keywords/>
  <dcterms:created xsi:type="dcterms:W3CDTF">2025-12-10T05:33:31Z</dcterms:created>
  <dcterms:modified xsi:type="dcterms:W3CDTF">2025-12-10T05:33:31Z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associacao-brasileira-de-normas-tecnicas.csl</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anguage">
    <vt:lpwstr>_language-pt-BR.yml</vt:lpwstr>
  </property>
  <property fmtid="{D5CDD505-2E9C-101B-9397-08002B2CF9AE}" pid="13" name="logo">
    <vt:lpwstr>www/logo.png</vt:lpwstr>
  </property>
  <property fmtid="{D5CDD505-2E9C-101B-9397-08002B2CF9AE}" pid="14" name="toc-title">
    <vt:lpwstr>Sumário</vt:lpwstr>
  </property>
</Properties>
</file>