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ENRIQUE HUIDOBRO</w:t>
      </w:r>
    </w:p>
    <w:p>
      <w:pPr>
        <w:spacing w:after="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Economista  ·  Consultor financiero independiente</w:t>
      </w:r>
    </w:p>
    <w:p>
      <w:pPr>
        <w:spacing w:after="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RUC: 10723712039   ·   Tel: 974 293 131   ·   Email: chicoma.1998@gmail.com</w:t>
      </w:r>
    </w:p>
    <w:p>
      <w:pPr>
        <w:pBdr>
          <w:bottom w:val="single" w:color="1F3864" w:sz="12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COTIZACIÓN DE SERVICIOS PROFESIONALES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808080"/>
        </w:rPr>
        <w:t xml:space="preserve">N° COT-2026-001        Fecha: 31/07/2026        Lima</w:t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3864"/>
        </w:rPr>
        <w:t xml:space="preserve">Señores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Razón social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INVERSIONES ESTRATÉGICAS INTEGRALES S.A.C.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RUC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20503680174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Atención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Sr. José Antonio Navarro Merea – Gerente General (Tel. 998 107 048)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VILLA EL MILAGRO – Adquisición de Vivienda Nueva (AVN), Programa Techo Propio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Ref.: </w:t>
      </w:r>
      <w:r>
        <w:rPr>
          <w:rFonts w:ascii="Calibri" w:cs="Calibri" w:eastAsia="Calibri" w:hAnsi="Calibri"/>
        </w:rPr>
        <w:t xml:space="preserve">Elaboración del flujo de caja, cronograma valorizado y estado de resultados proyectado del proyecto de vivienda </w:t>
      </w:r>
      <w:r>
        <w:rPr>
          <w:rFonts w:ascii="Calibri" w:cs="Calibri" w:eastAsia="Calibri" w:hAnsi="Calibri"/>
          <w:b/>
          <w:bCs/>
        </w:rPr>
        <w:t xml:space="preserve">VILLA EL MILAGRO</w:t>
      </w:r>
      <w:r>
        <w:rPr>
          <w:rFonts w:ascii="Calibri" w:cs="Calibri" w:eastAsia="Calibri" w:hAnsi="Calibri"/>
        </w:rPr>
        <w:t xml:space="preserve"> (modalidad AVN – Programa Techo Propio), como sustento técnico-financiero para la obtención de una </w:t>
      </w:r>
      <w:r>
        <w:rPr>
          <w:rFonts w:ascii="Calibri" w:cs="Calibri" w:eastAsia="Calibri" w:hAnsi="Calibri"/>
          <w:b/>
          <w:bCs/>
        </w:rPr>
        <w:t xml:space="preserve">carta fianza ante empresas aseguradoras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1.  Presentación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Estimados señores: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Es grato dirigirme a ustedes para presentar mi propuesta de servicios profesionales de consultoría financiera, orientada a estructurar la información económico-financiera del proyecto </w:t>
      </w:r>
      <w:r>
        <w:rPr>
          <w:rFonts w:ascii="Calibri" w:cs="Calibri" w:eastAsia="Calibri" w:hAnsi="Calibri"/>
          <w:b/>
          <w:bCs/>
        </w:rPr>
        <w:t xml:space="preserve">VILLA EL MILAGRO</w:t>
      </w:r>
      <w:r>
        <w:rPr>
          <w:rFonts w:ascii="Calibri" w:cs="Calibri" w:eastAsia="Calibri" w:hAnsi="Calibri"/>
        </w:rPr>
        <w:t xml:space="preserve"> (modalidad Adquisición de Vivienda Nueva – AVN del Programa Techo Propio), con el objetivo de sustentar técnicamente la solicitud de una </w:t>
      </w:r>
      <w:r>
        <w:rPr>
          <w:rFonts w:ascii="Calibri" w:cs="Calibri" w:eastAsia="Calibri" w:hAnsi="Calibri"/>
          <w:b/>
          <w:bCs/>
        </w:rPr>
        <w:t xml:space="preserve">carta fianza ante empresas aseguradoras</w:t>
      </w:r>
      <w:r>
        <w:rPr>
          <w:rFonts w:ascii="Calibri" w:cs="Calibri" w:eastAsia="Calibri" w:hAnsi="Calibri"/>
        </w:rPr>
        <w:t xml:space="preserve">, requerida para el desarrollo y la garantía del proyecto. Los entregables han sido diseñados conforme a la información que las áreas de riesgos y suscripción de las aseguradoras evalúan para la emisión de este tipo de garantías.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2.  Objeto de la propuesta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Proveer a la empresa de un modelo financiero integral y de la documentación de sustento necesaria para gestionar la carta fianza ante la aseguradora, respaldando la viabilidad del proyecto y su capacidad de cumplimiento.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3.  Alcance de los servicios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La consultoría comprende los siguientes componentes: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2E5496"/>
        </w:rPr>
        <w:t xml:space="preserve">3.1  Flujo de caja del proyecto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Proyección mensual de ingresos y egresos durante todo el horizonte del proyecto.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Ingresos por ventas —Bono Familiar Habitacional (Techo Propio), ahorro del beneficiario y crédito complementario, según corresponda— y por los desembolsos asociados al financiamiento del proyecto.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Egresos por terreno, construcción, licencias y proyectos, comercialización, gastos administrativos y servicio de la deuda.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Flujo de caja económico (sin financiamiento) y financiero (con financiamiento), con saldos acumulados.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2E5496"/>
        </w:rPr>
        <w:t xml:space="preserve">3.2  Cronograma valorizado de obra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Valorización mensual de la obra según curva de avance físico (perfil S).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Determinación del calendario de desembolsos y del dimensionamiento de la carta fianza en función del avance del proyecto.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Avance acumulado y saldo por ejecutar por período.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2E5496"/>
        </w:rPr>
        <w:t xml:space="preserve">3.3  Estado de resultados proyectado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Estado de resultados del proyecto: ventas, costo de ventas, utilidad bruta, gastos operativos, resultado financiero e impuestos.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Indicadores de rentabilidad: márgenes bruto y neto, ROI, y evaluación con VAN y TIR (económica y financiera).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2E5496"/>
        </w:rPr>
        <w:t xml:space="preserve">3.4  Informe / memoria de sustento para la aseguradora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Documento explicativo que integra los supuestos, la metodología y los resultados del modelo financiero.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Análisis de sensibilidad básico y conclusiones sobre la viabilidad y la capacidad de cumplimiento del proyecto, orientado a la entidad emisora de la carta fianza.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4.  Metodología de trabajo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Reunión de levantamiento de información y definición de supuestos con el equipo de la empresa.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Construcción del modelo en hoja de cálculo dinámica y parametrizable (los resultados se recalculan al variar los supuestos).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Presentación de un borrador para revisión y ajustes conjuntos.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Entrega final de los modelos e informe, con acompañamiento para su presentación ante la aseguradora.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5.  Entregables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1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Flujo de caja del proyecto (mensual)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 dinámico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Cronograma valorizado y calendario de desembolsos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 dinámico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 de resultados proyectado e indicadores (VAN/TIR)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 dinámico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Informe / memoria de sustento para la aseguradora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Word y PDF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6.  Plazo de ejecución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El plazo total estimado es de </w:t>
      </w:r>
      <w:r>
        <w:rPr>
          <w:rFonts w:ascii="Calibri" w:cs="Calibri" w:eastAsia="Calibri" w:hAnsi="Calibri"/>
          <w:b/>
          <w:bCs/>
        </w:rPr>
        <w:t xml:space="preserve">21 días calendario</w:t>
      </w:r>
      <w:r>
        <w:rPr>
          <w:rFonts w:ascii="Calibri" w:cs="Calibri" w:eastAsia="Calibri" w:hAnsi="Calibri"/>
        </w:rPr>
        <w:t xml:space="preserve">, contados desde la firma de la propuesta y la entrega completa de la información base por parte de la empresa, según el siguiente cronograma: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Levantamiento de información y supuestos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Construcción del modelo y borrador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 días</w:t>
            </w:r>
          </w:p>
        </w:tc>
      </w:tr>
      <w:tr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Revisión, ajustes y entrega final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días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7.  Honorarios profesionales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Los honorarios profesionales por el servicio integral ascienden a </w:t>
      </w:r>
      <w:r>
        <w:rPr>
          <w:rFonts w:ascii="Calibri" w:cs="Calibri" w:eastAsia="Calibri" w:hAnsi="Calibri"/>
          <w:b/>
          <w:bCs/>
        </w:rPr>
        <w:t xml:space="preserve">S/ 10,000.00</w:t>
      </w:r>
      <w:r>
        <w:rPr>
          <w:rFonts w:ascii="Calibri" w:cs="Calibri" w:eastAsia="Calibri" w:hAnsi="Calibri"/>
        </w:rPr>
        <w:t xml:space="preserve"> (diez mil y 00/100 soles), pagaderos </w:t>
      </w:r>
      <w:r>
        <w:rPr>
          <w:rFonts w:ascii="Calibri" w:cs="Calibri" w:eastAsia="Calibri" w:hAnsi="Calibri"/>
          <w:b/>
          <w:bCs/>
        </w:rPr>
        <w:t xml:space="preserve">por etapas</w:t>
      </w:r>
      <w:r>
        <w:rPr>
          <w:rFonts w:ascii="Calibri" w:cs="Calibri" w:eastAsia="Calibri" w:hAnsi="Calibri"/>
        </w:rPr>
        <w:t xml:space="preserve"> conforme al siguiente detalle: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460"/>
        <w:gridCol w:w="1300"/>
        <w:gridCol w:w="2600"/>
      </w:tblGrid>
      <w:tr>
        <w:trPr>
          <w:tblHeader/>
        </w:trPr>
        <w:tc>
          <w:tcPr>
            <w:tcW w:type="dxa" w:w="54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 / hito de pago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Importe (S/)</w:t>
            </w:r>
          </w:p>
        </w:tc>
      </w:tr>
      <w:tr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Adelanto (a la firma de la propuesta)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2,000.00</w:t>
            </w:r>
          </w:p>
        </w:tc>
      </w:tr>
      <w:tr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Entrega del borrador para revisión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3,000.00</w:t>
            </w:r>
          </w:p>
        </w:tc>
      </w:tr>
      <w:tr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Entrega final aprobada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5,000.00</w:t>
            </w:r>
          </w:p>
        </w:tc>
      </w:tr>
      <w:tr>
        <w:tc>
          <w:tcPr>
            <w:tcW w:type="dxa" w:w="54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S/ 10,000.00</w:t>
            </w:r>
          </w:p>
        </w:tc>
      </w:tr>
    </w:tbl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FF2CC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Condición tributaria: </w:t>
      </w:r>
      <w:r>
        <w:rPr>
          <w:rFonts w:ascii="Calibri" w:cs="Calibri" w:eastAsia="Calibri" w:hAnsi="Calibri"/>
          <w:sz w:val="18"/>
          <w:szCs w:val="18"/>
        </w:rPr>
        <w:t xml:space="preserve">el consultor emite Recibo por Honorarios (renta de 4.ª categoría) y cuenta con suspensión de retenciones vigente; por lo tanto, el servicio no está afecto a IGV ni a retención de renta. El importe indicado es el monto neto a transferir.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8.  Forma y condiciones de pago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Moneda: Soles (S/). Pagos mediante </w:t>
      </w:r>
      <w:r>
        <w:rPr>
          <w:rFonts w:ascii="Calibri" w:cs="Calibri" w:eastAsia="Calibri" w:hAnsi="Calibri"/>
          <w:b/>
          <w:bCs/>
        </w:rPr>
        <w:t xml:space="preserve">transferencia bancaria</w:t>
      </w:r>
      <w:r>
        <w:rPr>
          <w:rFonts w:ascii="Calibri" w:cs="Calibri" w:eastAsia="Calibri" w:hAnsi="Calibri"/>
        </w:rPr>
        <w:t xml:space="preserve"> a la cuenta que se indicará en cada Recibo por Honorarios.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Cada hito se cobra contra su cumplimiento; la entrega final se realiza una vez cancelado el saldo pendiente.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Plazo de pago: a la presentación del comprobante.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9.  Condiciones generales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La calidad de los resultados depende de la veracidad y oportunidad de la información proporcionada por la empresa.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El modelo financiero constituye una proyección basada en supuestos; no garantiza la emisión de la carta fianza, la cual es potestad exclusiva de la aseguradora.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La información del proyecto será tratada con confidencialidad y utilizada únicamente para los fines de esta consultoría.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Se incluye una (1) ronda de ajustes sobre el borrador. Rondas o alcances adicionales se cotizan por separado.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10.  Exclusiones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Elaboración de expedientes técnicos, tasaciones, estudios de mercado o el registro del proyecto ante el Fondo MIVIVIENDA / Techo Propio.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Calibri" w:cs="Calibri" w:eastAsia="Calibri" w:hAnsi="Calibri"/>
        </w:rPr>
        <w:t xml:space="preserve">Gestión o trámite directo ante la aseguradora, y los costos de emisión y comisión de la carta fianza.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11.  Validez de la oferta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La presente cotización tiene una validez de </w:t>
      </w:r>
      <w:r>
        <w:rPr>
          <w:rFonts w:ascii="Calibri" w:cs="Calibri" w:eastAsia="Calibri" w:hAnsi="Calibri"/>
          <w:b/>
          <w:bCs/>
        </w:rPr>
        <w:t xml:space="preserve">15 días calendario</w:t>
      </w:r>
      <w:r>
        <w:rPr>
          <w:rFonts w:ascii="Calibri" w:cs="Calibri" w:eastAsia="Calibri" w:hAnsi="Calibri"/>
        </w:rPr>
        <w:t xml:space="preserve"> a partir de su fecha de emisión.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Aceptación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En señal de conformidad con los términos, alcances y condiciones económicas de la presente propuesta, las partes suscriben: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_______________________________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ENRIQUE HUIDOBRO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José Antonio Navarro Merea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Economista · RUC 10723712039 · El Consultor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Gerente General · Inversiones Estratégicas Integrales S.A.C.</w:t>
            </w:r>
          </w:p>
        </w:tc>
      </w:tr>
    </w:tbl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Cotización COT-2026-001   ·   Enrique Huidobro   ·   Villa El Milagro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de Servicios Profesionales - Villa El Milagro</dc:title>
  <dc:creator>Enrique Huidobro</dc:creator>
  <cp:lastModifiedBy>Un-named</cp:lastModifiedBy>
  <cp:revision>1</cp:revision>
  <dcterms:created xsi:type="dcterms:W3CDTF">2026-07-31T18:18:39.104Z</dcterms:created>
  <dcterms:modified xsi:type="dcterms:W3CDTF">2026-07-31T18:18:39.122Z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