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76" w:before="0" w:after="20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sz w:val="20"/>
        </w:rPr>
        <w:drawing>
          <wp:inline distT="0" distB="0" distL="0" distR="0">
            <wp:extent cx="8965565" cy="73596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6200" cy="73660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0"/>
          <w:sz w:val="22"/>
          <w:szCs w:val="22"/>
          <w:rFonts w:ascii="Calibri" w:eastAsia="Calibri" w:hAnsi="Calibri" w:hint="default"/>
        </w:rPr>
        <w:t>Grup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o: _S10-S11____ Semana del __03__ al __07___ de__JULiO___del____2017___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Profesora: Jocelyne Noemi Arreola Reynoso</w:t>
      </w: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 w:top="0" w:left="108" w:bottom="0" w:right="108"/>
        <w:tblW w:w="0" w:type="auto"/>
        <w:tblLook w:val="0000A0" w:firstRow="1" w:lastRow="0" w:firstColumn="1" w:lastColumn="0" w:noHBand="0" w:noVBand="0"/>
        <w:tblLayout w:type="fixed"/>
      </w:tblPr>
      <w:tblGrid>
        <w:gridCol w:w="14278"/>
      </w:tblGrid>
      <w:tr>
        <w:trPr>
          <w:trHeight w:val="177"/>
        </w:trPr>
        <w:tc>
          <w:tcPr>
            <w:tcW w:type="dxa" w:w="14278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000000" w:fill="40404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b w:val="1"/>
                <w:color w:val="FFFFFF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EVALUACIONES FINALES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76" w:before="0" w:after="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 w:top="0" w:left="108" w:bottom="0" w:right="108"/>
        <w:tblW w:w="0" w:type="auto"/>
        <w:tblLook w:val="0000A0" w:firstRow="1" w:lastRow="0" w:firstColumn="1" w:lastColumn="0" w:noHBand="0" w:noVBand="0"/>
        <w:tblLayout w:type="fixed"/>
      </w:tblPr>
      <w:tblGrid>
        <w:gridCol w:w="14278"/>
      </w:tblGrid>
      <w:tr>
        <w:trPr>
          <w:trHeight w:val="1360"/>
        </w:trPr>
        <w:tc>
          <w:tcPr>
            <w:tcW w:type="dxa" w:w="14278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0"/>
                <w:szCs w:val="20"/>
                <w:rFonts w:ascii="Calibri" w:eastAsia="Calibri" w:hAnsi="Calibri" w:hint="default"/>
              </w:rPr>
            </w:pP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left="0" w:hanging="0"/>
              <w:rPr>
                <w:b w:val="1"/>
                <w:color w:val="000000"/>
                <w:position w:val="0"/>
                <w:sz w:val="20"/>
                <w:szCs w:val="20"/>
                <w:rFonts w:ascii="Calibri" w:eastAsia="Calibri" w:hAnsi="Calibri" w:hint="default"/>
              </w:rPr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Calibri" w:eastAsia="Calibri" w:hAnsi="Calibri" w:hint="default"/>
              </w:rPr>
              <w:br/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Calibri" w:eastAsia="Calibri" w:hAnsi="Calibri" w:hint="default"/>
              </w:rPr>
              <w:t xml:space="preserve">EVALUACIÓN FINAL DEL CURSO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left="0" w:hanging="0"/>
              <w:rPr>
                <w:color w:val="C0C0C0"/>
                <w:position w:val="0"/>
                <w:sz w:val="20"/>
                <w:szCs w:val="20"/>
                <w:rFonts w:ascii="Calibri" w:eastAsia="Calibri" w:hAnsi="Calibri" w:hint="default"/>
              </w:rPr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76" w:before="0" w:after="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 w:top="0" w:left="108" w:bottom="0" w:right="108"/>
        <w:tblW w:w="0" w:type="auto"/>
        <w:tblLook w:val="0000A0" w:firstRow="1" w:lastRow="0" w:firstColumn="1" w:lastColumn="0" w:noHBand="0" w:noVBand="0"/>
        <w:tblLayout w:type="fixed"/>
      </w:tblPr>
      <w:tblGrid>
        <w:gridCol w:w="2379"/>
        <w:gridCol w:w="2379"/>
        <w:gridCol w:w="2380"/>
        <w:gridCol w:w="2380"/>
        <w:gridCol w:w="2380"/>
        <w:gridCol w:w="2380"/>
      </w:tblGrid>
      <w:tr>
        <w:trPr>
          <w:trHeight w:val="0"/>
        </w:trPr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000000" w:fill="59595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b w:val="1"/>
                <w:position w:val="0"/>
                <w:sz w:val="24"/>
                <w:szCs w:val="24"/>
                <w:rFonts w:ascii="Calibri" w:eastAsia="Calibri" w:hAnsi="Calibri" w:hint="default"/>
              </w:rPr>
            </w:pPr>
            <w:r>
              <w:rPr>
                <w:b w:val="1"/>
                <w:color w:val="FFFFFF"/>
                <w:position w:val="0"/>
                <w:sz w:val="24"/>
                <w:szCs w:val="24"/>
                <w:rFonts w:ascii="Calibri" w:eastAsia="Calibri" w:hAnsi="Calibri" w:hint="default"/>
              </w:rPr>
              <w:t>Lunes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000000" w:fill="59595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b w:val="1"/>
                <w:color w:val="FFFFFF"/>
                <w:position w:val="0"/>
                <w:sz w:val="24"/>
                <w:szCs w:val="24"/>
                <w:rFonts w:ascii="Calibri" w:eastAsia="Calibri" w:hAnsi="Calibri" w:hint="default"/>
              </w:rPr>
              <w:t>Martes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000000" w:fill="59595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b w:val="1"/>
                <w:color w:val="FFFFFF"/>
                <w:position w:val="0"/>
                <w:sz w:val="24"/>
                <w:szCs w:val="24"/>
                <w:rFonts w:ascii="Calibri" w:eastAsia="Calibri" w:hAnsi="Calibri" w:hint="default"/>
              </w:rPr>
              <w:t>Miércoles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000000" w:fill="59595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b w:val="1"/>
                <w:color w:val="FFFFFF"/>
                <w:position w:val="0"/>
                <w:sz w:val="24"/>
                <w:szCs w:val="24"/>
                <w:rFonts w:ascii="Calibri" w:eastAsia="Calibri" w:hAnsi="Calibri" w:hint="default"/>
              </w:rPr>
              <w:t>Jueves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clear" w:color="000000" w:fill="59595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b w:val="1"/>
                <w:color w:val="FFFFFF"/>
                <w:position w:val="0"/>
                <w:sz w:val="24"/>
                <w:szCs w:val="24"/>
                <w:rFonts w:ascii="Calibri" w:eastAsia="Calibri" w:hAnsi="Calibri" w:hint="default"/>
              </w:rPr>
              <w:t>Viernes</w:t>
            </w:r>
          </w:p>
        </w:tc>
      </w:tr>
      <w:tr>
        <w:trPr>
          <w:trHeight w:val="0"/>
        </w:trPr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nil"/>
              <w:left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</w:tr>
      <w:tr>
        <w:trPr>
          <w:trHeight w:val="0"/>
        </w:trPr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Aprendizajes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br/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>esperados</w:t>
            </w:r>
          </w:p>
        </w:tc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Identificar la venta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mínima esperada de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acuerdo a la inversión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>estimada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Identificar la venta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máxima esperada de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acuerdo a la inversión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>estimada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Organizar la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información de acuerdo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 lo solicitado.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spacing w:val="0"/>
                <w:b w:val="0"/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spacing w:val="0"/>
                <w:b w:val="0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Organizar y exponer la </w:t>
            </w:r>
            <w:r>
              <w:rPr>
                <w:spacing w:val="0"/>
                <w:b w:val="0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información Vista en el </w:t>
            </w:r>
            <w:r>
              <w:rPr>
                <w:spacing w:val="0"/>
                <w:b w:val="0"/>
                <w:position w:val="0"/>
                <w:sz w:val="22"/>
                <w:szCs w:val="22"/>
                <w:rFonts w:ascii="Calibri" w:eastAsia="Calibri" w:hAnsi="Calibri" w:hint="default"/>
              </w:rPr>
              <w:t>blog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b w:val="1"/>
                <w:position w:val="0"/>
                <w:sz w:val="32"/>
                <w:szCs w:val="32"/>
                <w:rFonts w:ascii="Calibri" w:eastAsia="Calibri" w:hAnsi="Calibri" w:hint="default"/>
              </w:rPr>
            </w:pPr>
            <w:r>
              <w:rPr>
                <w:b w:val="1"/>
                <w:position w:val="0"/>
                <w:sz w:val="32"/>
                <w:szCs w:val="32"/>
                <w:rFonts w:ascii="Calibri" w:eastAsia="Calibri" w:hAnsi="Calibri" w:hint="default"/>
              </w:rPr>
              <w:t xml:space="preserve">Feria </w:t>
            </w:r>
            <w:r>
              <w:rPr>
                <w:b w:val="1"/>
                <w:position w:val="0"/>
                <w:sz w:val="32"/>
                <w:szCs w:val="32"/>
                <w:rFonts w:ascii="Calibri" w:eastAsia="Calibri" w:hAnsi="Calibri" w:hint="default"/>
              </w:rPr>
              <w:t>empresarial</w:t>
            </w:r>
          </w:p>
        </w:tc>
      </w:tr>
      <w:tr>
        <w:trPr>
          <w:trHeight w:val="0"/>
        </w:trPr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>Antecedentes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br/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¿Qué deben saber?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-inversión estimada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-operaciones básicas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-precio estimado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>-Inversión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-Inversión estimada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-venta mínima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-operaciones básicas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-Cuadro Foda, misión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visión y valores,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iversion,egresos,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graficas y encuestas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Creación de un blog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4"/>
                <w:szCs w:val="24"/>
                <w:rFonts w:ascii="NanumGothic" w:eastAsia="NanumGothic" w:hAnsi="NanumGothic" w:hint="default"/>
              </w:rPr>
            </w:pPr>
            <w:r>
              <w:rPr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Información Solicitada </w:t>
            </w:r>
            <w:r>
              <w:rPr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por cada materia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b w:val="1"/>
                <w:position w:val="0"/>
                <w:sz w:val="32"/>
                <w:szCs w:val="32"/>
                <w:rFonts w:ascii="Calibri" w:eastAsia="Calibri" w:hAnsi="Calibri" w:hint="default"/>
              </w:rPr>
              <w:t xml:space="preserve">Feria </w:t>
            </w:r>
            <w:r>
              <w:rPr>
                <w:b w:val="1"/>
                <w:position w:val="0"/>
                <w:sz w:val="32"/>
                <w:szCs w:val="32"/>
                <w:rFonts w:ascii="Calibri" w:eastAsia="Calibri" w:hAnsi="Calibri" w:hint="default"/>
              </w:rPr>
              <w:t>empresarial</w:t>
            </w:r>
          </w:p>
        </w:tc>
      </w:tr>
      <w:tr>
        <w:trPr>
          <w:trHeight w:val="0"/>
        </w:trPr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Situación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br/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>problemática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br/>
            </w:r>
          </w:p>
        </w:tc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Conocer la venta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mínima para obtener la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inversión realizada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Conocer la venta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máxima que pueden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obetener de acuerdo 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la inversion realizada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4"/>
                <w:szCs w:val="24"/>
                <w:rFonts w:ascii="NanumGothic" w:eastAsia="NanumGothic" w:hAnsi="NanumGothic" w:hint="default"/>
              </w:rPr>
            </w:pPr>
            <w:r>
              <w:rPr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Expresar y representar </w:t>
            </w:r>
            <w:r>
              <w:rPr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los elementos </w:t>
            </w:r>
            <w:r>
              <w:rPr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necesarios para una </w:t>
            </w:r>
            <w:r>
              <w:rPr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empresa creando un </w:t>
            </w:r>
            <w:r>
              <w:rPr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2"/>
                <w:szCs w:val="22"/>
                <w:rFonts w:ascii="Calibri" w:eastAsia="Calibri" w:hAnsi="Calibri" w:hint="default"/>
              </w:rPr>
              <w:t>blog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spacing w:val="0"/>
                <w:b w:val="0"/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spacing w:val="0"/>
                <w:b w:val="0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Conocer los elementos </w:t>
            </w:r>
            <w:r>
              <w:rPr>
                <w:spacing w:val="0"/>
                <w:b w:val="0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que intervienen al </w:t>
            </w:r>
            <w:r>
              <w:rPr>
                <w:spacing w:val="0"/>
                <w:b w:val="0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realizar una empresa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b w:val="1"/>
                <w:position w:val="0"/>
                <w:sz w:val="32"/>
                <w:szCs w:val="32"/>
                <w:rFonts w:ascii="Calibri" w:eastAsia="Calibri" w:hAnsi="Calibri" w:hint="default"/>
              </w:rPr>
            </w:pPr>
            <w:r>
              <w:rPr>
                <w:b w:val="1"/>
                <w:position w:val="0"/>
                <w:sz w:val="32"/>
                <w:szCs w:val="32"/>
                <w:rFonts w:ascii="Calibri" w:eastAsia="Calibri" w:hAnsi="Calibri" w:hint="default"/>
              </w:rPr>
              <w:t xml:space="preserve">Feria </w:t>
            </w:r>
            <w:r>
              <w:rPr>
                <w:b w:val="1"/>
                <w:position w:val="0"/>
                <w:sz w:val="32"/>
                <w:szCs w:val="32"/>
                <w:rFonts w:ascii="Calibri" w:eastAsia="Calibri" w:hAnsi="Calibri" w:hint="default"/>
              </w:rPr>
              <w:t>empresarial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00" w:before="0" w:after="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00" w:before="0" w:after="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00" w:before="0" w:after="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00" w:before="0" w:after="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Cambria" w:eastAsia="Cambria" w:hAnsi="Cambria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Cambria" w:eastAsia="Cambria" w:hAnsi="Cambria" w:hint="default"/>
        </w:rPr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 w:top="0" w:left="108" w:bottom="0" w:right="108"/>
        <w:tblW w:w="0" w:type="auto"/>
        <w:tblLook w:val="0000A0" w:firstRow="1" w:lastRow="0" w:firstColumn="1" w:lastColumn="0" w:noHBand="0" w:noVBand="0"/>
        <w:tblLayout w:type="fixed"/>
      </w:tblPr>
      <w:tblGrid>
        <w:gridCol w:w="2379"/>
        <w:gridCol w:w="2379"/>
        <w:gridCol w:w="2380"/>
        <w:gridCol w:w="2380"/>
        <w:gridCol w:w="2380"/>
        <w:gridCol w:w="2380"/>
      </w:tblGrid>
      <w:tr>
        <w:trPr>
          <w:trHeight w:val="0"/>
        </w:trPr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br/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br/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br/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Desarrollo del tema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br/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br/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Se realizada una lluvia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de ideas de las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inversiones estimadas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que hizo cada una de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las empresas en el salón,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se les preguntará que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entienden por venta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mínima y de pondrá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una ejemplo de una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empresa diferente a la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que tienen utilizando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este ejemplo se les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explicará de que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manera puedo calcular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la venta mínima para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que la venta mínima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sea igual a lo que inverti,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y a esto se le llama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venta mínima la cual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deberán realizar cada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equipo de acuerdo a su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empresa 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Se realizara una lluvia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de ideas de lo visto en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la clase de ayer de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acuerdo al ejemplo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visto el día de ayer se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pedirá que piensen de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que manera puedo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calcular la venta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maxima de esta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empresa, se les guiará 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los alumnos para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obtener la venta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máxima de sus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empresas y después su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venta máxima deberán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restarle su inversión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para calcular la ganacia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que obtendrán si su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venta máxima fuese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cierta( esto ayudará 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que los alumnos se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motive a participar)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Utilizando la hoja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entregada en días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anteriores se les pedirá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que organicen la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información de acuerdo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 lo dicho en la página,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un integrante de cada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equipo deberá reunir la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información para ser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escrita en el blog que ya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tienen hecho, el alumno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deberá diseñar y pasar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la información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recolectada en el blog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la cual deberá estar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organizada de la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manera en que diga en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la hoja.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Se les dará un tiempo 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los alumnos para que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terminen de pasar y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orgarnizar la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información en su blog,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el terminar los alumnos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expondrán su blog a sus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compañeros para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verificar que tengan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todos los elementos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solicitados por cada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materia y obsevar si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existe algún error y sea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corregido los alumnos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que no son del equipo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podrán preguntar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cualquier duda que se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puede tener ya sea del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diseño o el contenido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del blog. 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>````i</w:t>
            </w:r>
          </w:p>
        </w:tc>
      </w:tr>
      <w:tr>
        <w:trPr>
          <w:trHeight w:val="404"/>
        </w:trPr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br/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Aplicación e invención</w:t>
            </w:r>
          </w:p>
        </w:tc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Actividad de clase: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Calcular la venta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mínima esperada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Actividad de clase: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Calcular la venta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máxima esperada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Actividad de clase: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Organizar la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información en el blog.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Actividad de clases: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Organizar la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información y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exponerla en un blog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</w:tr>
      <w:tr>
        <w:trPr>
          <w:trHeight w:val="0"/>
        </w:trPr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br/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Cierre de clase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¿Pera que le sirve a una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empresa conocer la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venta mínima?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¿para que le sirve a una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empresa conocer su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venta máxima?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Acparar dudas sobre la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creación y contenido 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del blog.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 xml:space="preserve">Aclarar dudas sobre la </w:t>
            </w: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>empresa.</w:t>
            </w: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</w:tr>
      <w:tr>
        <w:trPr>
          <w:trHeight w:val="0"/>
        </w:trPr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position w:val="0"/>
                <w:sz w:val="22"/>
                <w:szCs w:val="22"/>
                <w:rFonts w:ascii="Calibri" w:eastAsia="Calibri" w:hAnsi="Calibri" w:hint="default"/>
              </w:rPr>
              <w:t>Observaciones</w:t>
            </w:r>
          </w:p>
        </w:tc>
        <w:tc>
          <w:tcPr>
            <w:tcW w:type="dxa" w:w="2379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type="dxa" w:w="2380"/>
            <w:tcMar>
              <w:left w:w="108" w:type="dxa"/>
              <w:right w:w="108" w:type="dxa"/>
              <w:top w:w="0" w:type="dxa"/>
              <w:bottom w:w="0" w:type="dxa"/>
            </w:tcMar>
            <w:shd w:val="clear" w:color="000000" w:fill="EBF1DE" w:themeFill="accent3" w:themeFillTint="33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0" w:hanging="0"/>
              <w:rPr>
                <w:position w:val="0"/>
                <w:sz w:val="22"/>
                <w:szCs w:val="22"/>
                <w:rFonts w:ascii="Calibri" w:eastAsia="Calibri" w:hAnsi="Calibri" w:hint="default"/>
              </w:rPr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00" w:before="0" w:after="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position w:val="0"/>
          <w:sz w:val="24"/>
          <w:szCs w:val="24"/>
          <w:rFonts w:ascii="Cambria" w:eastAsia="Cambria" w:hAnsi="Cambria" w:hint="default"/>
        </w:rPr>
      </w:pPr>
    </w:p>
    <w:sectPr>
      <w:pgSz w:w="16840" w:h="11900" w:orient="landscape"/>
      <w:pgMar w:top="1134" w:left="1134" w:bottom="1134" w:right="1134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ucida Grand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mbria" w:eastAsia="Cambria" w:hAnsi="Cambria"/>
        <w:shd w:val="clear"/>
        <w:sz w:val="24"/>
        <w:szCs w:val="24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Calibri" w:eastAsia="Calibri" w:hAnsi="Calibri"/>
      <w:shd w:val="clear"/>
      <w:sz w:val="22"/>
      <w:szCs w:val="22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customStyle="1" w:styleId="PO151" w:type="paragraph">
    <w:name w:val="[Basic Paragraph]"/>
    <w:basedOn w:val="PO1"/>
    <w:uiPriority w:val="151"/>
    <w:pPr>
      <w:autoSpaceDE w:val="0"/>
      <w:autoSpaceDN w:val="0"/>
      <w:textAlignment w:val="center"/>
      <w:widowControl/>
      <w:wordWrap/>
    </w:pPr>
    <w:rPr>
      <w:color w:val="000000"/>
      <w:rFonts w:ascii="Times New Roman" w:eastAsia="Times New Roman" w:hAnsi="Times New Roman"/>
      <w:shd w:val="clear"/>
      <w:sz w:val="24"/>
      <w:szCs w:val="24"/>
      <w:w w:val="100"/>
    </w:rPr>
  </w:style>
  <w:style w:styleId="PO152" w:type="paragraph">
    <w:name w:val="Balloon Text"/>
    <w:basedOn w:val="PO1"/>
    <w:link w:val="PO153"/>
    <w:uiPriority w:val="152"/>
    <w:semiHidden/>
    <w:unhideWhenUsed/>
    <w:pPr>
      <w:autoSpaceDE w:val="1"/>
      <w:autoSpaceDN w:val="1"/>
      <w:widowControl/>
      <w:wordWrap/>
    </w:pPr>
    <w:rPr>
      <w:rFonts w:ascii="Lucida Grande" w:eastAsia="Lucida Grande" w:hAnsi="Lucida Grande"/>
      <w:shd w:val="clear"/>
      <w:sz w:val="18"/>
      <w:szCs w:val="18"/>
      <w:w w:val="100"/>
    </w:rPr>
  </w:style>
  <w:style w:customStyle="1" w:styleId="PO153" w:type="character">
    <w:name w:val="Balloon Text Char"/>
    <w:basedOn w:val="PO2"/>
    <w:link w:val="PO152"/>
    <w:uiPriority w:val="153"/>
    <w:semiHidden/>
    <w:rPr>
      <w:rFonts w:ascii="Lucida Grande" w:eastAsia="Calibri" w:hAnsi="Lucida Grande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casa</Company>
  <DocSecurity>0</DocSecurity>
  <HyperlinksChanged>false</HyperlinksChanged>
  <Lines>17</Lines>
  <LinksUpToDate>false</LinksUpToDate>
  <Pages>3</Pages>
  <Paragraphs>4</Paragraphs>
  <Words>365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Jonathan</dc:creator>
  <cp:lastModifiedBy>fres_adulce</cp:lastModifiedBy>
  <dcterms:modified xsi:type="dcterms:W3CDTF">2017-06-25T21:03:00Z</dcterms:modified>
</cp:coreProperties>
</file>