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4FFE" w14:textId="77777777" w:rsidR="00F233DC" w:rsidRDefault="00BB56D9">
      <w:pPr>
        <w:jc w:val="center"/>
        <w:rPr>
          <w:rFonts w:hint="eastAsia"/>
        </w:rPr>
      </w:pPr>
      <w:r>
        <w:rPr>
          <w:b/>
          <w:color w:val="57068C"/>
          <w:sz w:val="28"/>
        </w:rPr>
        <w:t>EMERGING TECHNOLOGIES</w:t>
      </w:r>
    </w:p>
    <w:p w14:paraId="57BE4FFF" w14:textId="77777777" w:rsidR="00F233DC" w:rsidRDefault="00BB56D9">
      <w:pPr>
        <w:pStyle w:val="Title"/>
        <w:jc w:val="center"/>
      </w:pPr>
      <w:r>
        <w:t>Diffusion Agent — Specialist Agent Record</w:t>
      </w:r>
    </w:p>
    <w:p w14:paraId="57BE5000" w14:textId="77777777" w:rsidR="00F233DC" w:rsidRDefault="00BB56D9">
      <w:pPr>
        <w:jc w:val="center"/>
        <w:rPr>
          <w:rFonts w:hint="eastAsia"/>
        </w:rPr>
      </w:pPr>
      <w:r>
        <w:t>MASY1-GC 1800 | Assignments 2-8</w:t>
      </w:r>
    </w:p>
    <w:tbl>
      <w:tblPr>
        <w:tblW w:w="0" w:type="auto"/>
        <w:tblLook w:val="04A0" w:firstRow="1" w:lastRow="0" w:firstColumn="1" w:lastColumn="0" w:noHBand="0" w:noVBand="1"/>
      </w:tblPr>
      <w:tblGrid>
        <w:gridCol w:w="10454"/>
      </w:tblGrid>
      <w:tr w:rsidR="00F233DC" w14:paraId="57BE5002" w14:textId="77777777">
        <w:tc>
          <w:tcPr>
            <w:tcW w:w="10454" w:type="dxa"/>
            <w:shd w:val="clear" w:color="auto" w:fill="F3EDF7"/>
            <w:tcMar>
              <w:top w:w="90" w:type="dxa"/>
              <w:left w:w="120" w:type="dxa"/>
              <w:bottom w:w="90" w:type="dxa"/>
              <w:right w:w="120" w:type="dxa"/>
            </w:tcMar>
          </w:tcPr>
          <w:p w14:paraId="57BE5001" w14:textId="77777777" w:rsidR="00F233DC" w:rsidRDefault="00BB56D9">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57BE5003" w14:textId="77777777" w:rsidR="00F233DC" w:rsidRDefault="00BB56D9">
      <w:pPr>
        <w:pStyle w:val="Heading1"/>
      </w:pPr>
      <w:r>
        <w:t>A. Agent and Version</w:t>
      </w:r>
    </w:p>
    <w:tbl>
      <w:tblPr>
        <w:tblStyle w:val="TableGrid"/>
        <w:tblW w:w="0" w:type="auto"/>
        <w:jc w:val="center"/>
        <w:tblLook w:val="04A0" w:firstRow="1" w:lastRow="0" w:firstColumn="1" w:lastColumn="0" w:noHBand="0" w:noVBand="1"/>
      </w:tblPr>
      <w:tblGrid>
        <w:gridCol w:w="5220"/>
        <w:gridCol w:w="5224"/>
      </w:tblGrid>
      <w:tr w:rsidR="00F233DC" w14:paraId="57BE5006" w14:textId="77777777">
        <w:trPr>
          <w:jc w:val="center"/>
          <w:cantSplit/>
          <w:tblHeader/>
        </w:trPr>
        <w:tc>
          <w:tcPr>
            <w:tcW w:w="5227" w:type="dxa"/>
            <w:shd w:val="clear" w:color="auto" w:fill="57068C"/>
            <w:tcMar>
              <w:top w:w="70" w:type="dxa"/>
              <w:left w:w="90" w:type="dxa"/>
              <w:bottom w:w="70" w:type="dxa"/>
              <w:right w:w="90" w:type="dxa"/>
            </w:tcMar>
          </w:tcPr>
          <w:p w14:paraId="57BE5004" w14:textId="77777777" w:rsidR="00F233DC" w:rsidRDefault="00BB56D9">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7BE5005" w14:textId="77777777" w:rsidR="00F233DC" w:rsidRDefault="00BB56D9">
            <w:pPr>
              <w:spacing w:after="20"/>
              <w:rPr>
                <w:rFonts w:hint="eastAsia"/>
              </w:rPr>
            </w:pPr>
            <w:r>
              <w:rPr>
                <w:b/>
                <w:color w:val="FFFFFF"/>
                <w:sz w:val="17"/>
              </w:rPr>
              <w:t>Student record</w:t>
            </w:r>
          </w:p>
        </w:tc>
      </w:tr>
      <w:tr w:rsidR="00F233DC" w14:paraId="57BE5009" w14:textId="77777777">
        <w:trPr>
          <w:jc w:val="center"/>
          <w:cantSplit/>
        </w:trPr>
        <w:tc>
          <w:tcPr>
            <w:tcW w:w="5227" w:type="dxa"/>
            <w:tcMar>
              <w:top w:w="70" w:type="dxa"/>
              <w:left w:w="90" w:type="dxa"/>
              <w:bottom w:w="70" w:type="dxa"/>
              <w:right w:w="90" w:type="dxa"/>
            </w:tcMar>
          </w:tcPr>
          <w:p w14:paraId="57BE5007" w14:textId="77777777" w:rsidR="00F233DC" w:rsidRDefault="00BB56D9">
            <w:pPr>
              <w:spacing w:after="20"/>
              <w:rPr>
                <w:rFonts w:hint="eastAsia"/>
              </w:rPr>
            </w:pPr>
            <w:r>
              <w:rPr>
                <w:sz w:val="17"/>
              </w:rPr>
              <w:t>Student / team</w:t>
            </w:r>
          </w:p>
        </w:tc>
        <w:tc>
          <w:tcPr>
            <w:tcW w:w="5227" w:type="dxa"/>
            <w:tcMar>
              <w:top w:w="70" w:type="dxa"/>
              <w:left w:w="90" w:type="dxa"/>
              <w:bottom w:w="70" w:type="dxa"/>
              <w:right w:w="90" w:type="dxa"/>
            </w:tcMar>
          </w:tcPr>
          <w:p>
            <w:pPr>
              <w:spacing w:after="80"/>
            </w:pPr>
            <w:r>
              <w:rPr>
                <w:sz w:val="20"/>
              </w:rPr>
              <w:t>chictofu (GitHub account; student/team name not supplied)</w:t>
            </w:r>
          </w:p>
        </w:tc>
      </w:tr>
      <w:tr w:rsidR="00F233DC" w14:paraId="57BE500C" w14:textId="77777777">
        <w:trPr>
          <w:jc w:val="center"/>
          <w:cantSplit/>
        </w:trPr>
        <w:tc>
          <w:tcPr>
            <w:tcW w:w="5227" w:type="dxa"/>
            <w:tcMar>
              <w:top w:w="70" w:type="dxa"/>
              <w:left w:w="90" w:type="dxa"/>
              <w:bottom w:w="70" w:type="dxa"/>
              <w:right w:w="90" w:type="dxa"/>
            </w:tcMar>
          </w:tcPr>
          <w:p w14:paraId="57BE500A" w14:textId="77777777" w:rsidR="00F233DC" w:rsidRDefault="00BB56D9">
            <w:pPr>
              <w:spacing w:after="20"/>
              <w:rPr>
                <w:rFonts w:hint="eastAsia"/>
              </w:rPr>
            </w:pPr>
            <w:r>
              <w:rPr>
                <w:sz w:val="17"/>
              </w:rPr>
              <w:t>Assignment / specialist agent</w:t>
            </w:r>
          </w:p>
        </w:tc>
        <w:tc>
          <w:tcPr>
            <w:tcW w:w="5227" w:type="dxa"/>
            <w:tcMar>
              <w:top w:w="70" w:type="dxa"/>
              <w:left w:w="90" w:type="dxa"/>
              <w:bottom w:w="70" w:type="dxa"/>
              <w:right w:w="90" w:type="dxa"/>
            </w:tcMar>
          </w:tcPr>
          <w:p>
            <w:pPr>
              <w:spacing w:after="80"/>
            </w:pPr>
            <w:r>
              <w:rPr>
                <w:sz w:val="20"/>
              </w:rPr>
              <w:t>Diffusion Agent — diffusion of innovations; metadata version 1.0.0. Assignment number not supplied.</w:t>
            </w:r>
          </w:p>
        </w:tc>
      </w:tr>
      <w:tr w:rsidR="00F233DC" w14:paraId="57BE500F" w14:textId="77777777">
        <w:trPr>
          <w:jc w:val="center"/>
          <w:cantSplit/>
        </w:trPr>
        <w:tc>
          <w:tcPr>
            <w:tcW w:w="5227" w:type="dxa"/>
            <w:tcMar>
              <w:top w:w="70" w:type="dxa"/>
              <w:left w:w="90" w:type="dxa"/>
              <w:bottom w:w="70" w:type="dxa"/>
              <w:right w:w="90" w:type="dxa"/>
            </w:tcMar>
          </w:tcPr>
          <w:p w14:paraId="57BE500D" w14:textId="77777777" w:rsidR="00F233DC" w:rsidRDefault="00BB56D9">
            <w:pPr>
              <w:spacing w:after="20"/>
              <w:rPr>
                <w:rFonts w:hint="eastAsia"/>
              </w:rPr>
            </w:pPr>
            <w:r>
              <w:rPr>
                <w:sz w:val="17"/>
              </w:rPr>
              <w:t>Date</w:t>
            </w:r>
          </w:p>
        </w:tc>
        <w:tc>
          <w:tcPr>
            <w:tcW w:w="5227" w:type="dxa"/>
            <w:tcMar>
              <w:top w:w="70" w:type="dxa"/>
              <w:left w:w="90" w:type="dxa"/>
              <w:bottom w:w="70" w:type="dxa"/>
              <w:right w:w="90" w:type="dxa"/>
            </w:tcMar>
          </w:tcPr>
          <w:p>
            <w:pPr>
              <w:spacing w:after="80"/>
            </w:pPr>
            <w:r>
              <w:rPr>
                <w:sz w:val="20"/>
              </w:rPr>
              <w:t>October 25, 2026</w:t>
            </w:r>
          </w:p>
        </w:tc>
      </w:tr>
      <w:tr w:rsidR="00F233DC" w14:paraId="57BE5012" w14:textId="77777777">
        <w:trPr>
          <w:jc w:val="center"/>
          <w:cantSplit/>
        </w:trPr>
        <w:tc>
          <w:tcPr>
            <w:tcW w:w="5227" w:type="dxa"/>
            <w:tcMar>
              <w:top w:w="70" w:type="dxa"/>
              <w:left w:w="90" w:type="dxa"/>
              <w:bottom w:w="70" w:type="dxa"/>
              <w:right w:w="90" w:type="dxa"/>
            </w:tcMar>
          </w:tcPr>
          <w:p w14:paraId="57BE5010" w14:textId="77777777" w:rsidR="00F233DC" w:rsidRDefault="00BB56D9">
            <w:pPr>
              <w:spacing w:after="20"/>
              <w:rPr>
                <w:rFonts w:hint="eastAsia"/>
              </w:rPr>
            </w:pPr>
            <w:r>
              <w:rPr>
                <w:sz w:val="17"/>
              </w:rPr>
              <w:t>GitHub repository</w:t>
            </w:r>
          </w:p>
        </w:tc>
        <w:tc>
          <w:tcPr>
            <w:tcW w:w="5227" w:type="dxa"/>
            <w:tcMar>
              <w:top w:w="70" w:type="dxa"/>
              <w:left w:w="90" w:type="dxa"/>
              <w:bottom w:w="70" w:type="dxa"/>
              <w:right w:w="90" w:type="dxa"/>
            </w:tcMar>
          </w:tcPr>
          <w:p>
            <w:pPr>
              <w:spacing w:after="80"/>
            </w:pPr>
            <w:r>
              <w:rPr>
                <w:sz w:val="20"/>
              </w:rPr>
              <w:t>https://github.com/chictofu/JZ-MASY1800-Emerging-Technologies-Agents</w:t>
            </w:r>
          </w:p>
        </w:tc>
      </w:tr>
      <w:tr w:rsidR="00F233DC" w14:paraId="57BE5015" w14:textId="77777777">
        <w:trPr>
          <w:jc w:val="center"/>
          <w:cantSplit/>
        </w:trPr>
        <w:tc>
          <w:tcPr>
            <w:tcW w:w="5227" w:type="dxa"/>
            <w:tcMar>
              <w:top w:w="70" w:type="dxa"/>
              <w:left w:w="90" w:type="dxa"/>
              <w:bottom w:w="70" w:type="dxa"/>
              <w:right w:w="90" w:type="dxa"/>
            </w:tcMar>
          </w:tcPr>
          <w:p w14:paraId="57BE5013" w14:textId="77777777" w:rsidR="00F233DC" w:rsidRDefault="00BB56D9">
            <w:pPr>
              <w:spacing w:after="20"/>
              <w:rPr>
                <w:rFonts w:hint="eastAsia"/>
              </w:rPr>
            </w:pPr>
            <w:r>
              <w:rPr>
                <w:sz w:val="17"/>
              </w:rPr>
              <w:t>Branch</w:t>
            </w:r>
          </w:p>
        </w:tc>
        <w:tc>
          <w:tcPr>
            <w:tcW w:w="5227" w:type="dxa"/>
            <w:tcMar>
              <w:top w:w="70" w:type="dxa"/>
              <w:left w:w="90" w:type="dxa"/>
              <w:bottom w:w="70" w:type="dxa"/>
              <w:right w:w="90" w:type="dxa"/>
            </w:tcMar>
          </w:tcPr>
          <w:p>
            <w:pPr>
              <w:spacing w:after="80"/>
            </w:pPr>
            <w:r>
              <w:rPr>
                <w:sz w:val="20"/>
              </w:rPr>
              <w:t>diffusion-agent</w:t>
            </w:r>
          </w:p>
        </w:tc>
      </w:tr>
      <w:tr w:rsidR="00F233DC" w14:paraId="57BE5018" w14:textId="77777777">
        <w:trPr>
          <w:jc w:val="center"/>
          <w:cantSplit/>
        </w:trPr>
        <w:tc>
          <w:tcPr>
            <w:tcW w:w="5227" w:type="dxa"/>
            <w:tcMar>
              <w:top w:w="70" w:type="dxa"/>
              <w:left w:w="90" w:type="dxa"/>
              <w:bottom w:w="70" w:type="dxa"/>
              <w:right w:w="90" w:type="dxa"/>
            </w:tcMar>
          </w:tcPr>
          <w:p w14:paraId="57BE5016" w14:textId="77777777" w:rsidR="00F233DC" w:rsidRDefault="00BB56D9">
            <w:pPr>
              <w:spacing w:after="20"/>
              <w:rPr>
                <w:rFonts w:hint="eastAsia"/>
              </w:rPr>
            </w:pPr>
            <w:r>
              <w:rPr>
                <w:sz w:val="17"/>
              </w:rPr>
              <w:t>Commit</w:t>
            </w:r>
          </w:p>
        </w:tc>
        <w:tc>
          <w:tcPr>
            <w:tcW w:w="5227" w:type="dxa"/>
            <w:tcMar>
              <w:top w:w="70" w:type="dxa"/>
              <w:left w:w="90" w:type="dxa"/>
              <w:bottom w:w="70" w:type="dxa"/>
              <w:right w:w="90" w:type="dxa"/>
            </w:tcMar>
          </w:tcPr>
          <w:p>
            <w:pPr>
              <w:spacing w:after="80"/>
            </w:pPr>
            <w:r>
              <w:rPr>
                <w:sz w:val="20"/>
              </w:rPr>
              <w:t>e6be84c523d8e2b9e6b07835819b9e06741b6da9</w:t>
            </w:r>
          </w:p>
        </w:tc>
      </w:tr>
      <w:tr w:rsidR="00F233DC" w14:paraId="57BE501B" w14:textId="77777777">
        <w:trPr>
          <w:jc w:val="center"/>
          <w:cantSplit/>
        </w:trPr>
        <w:tc>
          <w:tcPr>
            <w:tcW w:w="5227" w:type="dxa"/>
            <w:tcMar>
              <w:top w:w="70" w:type="dxa"/>
              <w:left w:w="90" w:type="dxa"/>
              <w:bottom w:w="70" w:type="dxa"/>
              <w:right w:w="90" w:type="dxa"/>
            </w:tcMar>
          </w:tcPr>
          <w:p w14:paraId="57BE5019" w14:textId="77777777" w:rsidR="00F233DC" w:rsidRDefault="00BB56D9">
            <w:pPr>
              <w:spacing w:after="20"/>
              <w:rPr>
                <w:rFonts w:hint="eastAsia"/>
              </w:rPr>
            </w:pPr>
            <w:r>
              <w:rPr>
                <w:sz w:val="17"/>
              </w:rPr>
              <w:t>Frozen scaffold version</w:t>
            </w:r>
          </w:p>
        </w:tc>
        <w:tc>
          <w:tcPr>
            <w:tcW w:w="5227" w:type="dxa"/>
            <w:tcMar>
              <w:top w:w="70" w:type="dxa"/>
              <w:left w:w="90" w:type="dxa"/>
              <w:bottom w:w="70" w:type="dxa"/>
              <w:right w:w="90" w:type="dxa"/>
            </w:tcMar>
          </w:tcPr>
          <w:p>
            <w:pPr>
              <w:spacing w:after="80"/>
            </w:pPr>
            <w:r>
              <w:rPr>
                <w:sz w:val="20"/>
              </w:rPr>
              <w:t>MASY1800_ET_Agent_Scaffold_v1_0</w:t>
            </w:r>
          </w:p>
        </w:tc>
      </w:tr>
    </w:tbl>
    <w:p w14:paraId="57BE501C" w14:textId="77777777" w:rsidR="00F233DC" w:rsidRDefault="00BB56D9">
      <w:pPr>
        <w:pStyle w:val="Heading1"/>
      </w:pPr>
      <w:r>
        <w:t>B. Specialist Purpose and Context</w:t>
      </w:r>
    </w:p>
    <w:tbl>
      <w:tblPr>
        <w:tblStyle w:val="TableGrid"/>
        <w:tblW w:w="0" w:type="auto"/>
        <w:jc w:val="center"/>
        <w:tblLook w:val="04A0" w:firstRow="1" w:lastRow="0" w:firstColumn="1" w:lastColumn="0" w:noHBand="0" w:noVBand="1"/>
      </w:tblPr>
      <w:tblGrid>
        <w:gridCol w:w="5222"/>
        <w:gridCol w:w="5222"/>
      </w:tblGrid>
      <w:tr w:rsidR="00F233DC" w14:paraId="57BE501F" w14:textId="77777777">
        <w:trPr>
          <w:jc w:val="center"/>
          <w:cantSplit/>
          <w:tblHeader/>
        </w:trPr>
        <w:tc>
          <w:tcPr>
            <w:tcW w:w="5227" w:type="dxa"/>
            <w:shd w:val="clear" w:color="auto" w:fill="57068C"/>
            <w:tcMar>
              <w:top w:w="70" w:type="dxa"/>
              <w:left w:w="90" w:type="dxa"/>
              <w:bottom w:w="70" w:type="dxa"/>
              <w:right w:w="90" w:type="dxa"/>
            </w:tcMar>
          </w:tcPr>
          <w:p w14:paraId="57BE501D" w14:textId="77777777" w:rsidR="00F233DC" w:rsidRDefault="00BB56D9">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7BE501E" w14:textId="77777777" w:rsidR="00F233DC" w:rsidRDefault="00BB56D9">
            <w:pPr>
              <w:spacing w:after="20"/>
              <w:rPr>
                <w:rFonts w:hint="eastAsia"/>
              </w:rPr>
            </w:pPr>
            <w:r>
              <w:rPr>
                <w:b/>
                <w:color w:val="FFFFFF"/>
                <w:sz w:val="17"/>
              </w:rPr>
              <w:t>Student record</w:t>
            </w:r>
          </w:p>
        </w:tc>
      </w:tr>
      <w:tr w:rsidR="00F233DC" w14:paraId="57BE5022" w14:textId="77777777">
        <w:trPr>
          <w:jc w:val="center"/>
          <w:cantSplit/>
        </w:trPr>
        <w:tc>
          <w:tcPr>
            <w:tcW w:w="5227" w:type="dxa"/>
            <w:tcMar>
              <w:top w:w="70" w:type="dxa"/>
              <w:left w:w="90" w:type="dxa"/>
              <w:bottom w:w="70" w:type="dxa"/>
              <w:right w:w="90" w:type="dxa"/>
            </w:tcMar>
          </w:tcPr>
          <w:p w14:paraId="57BE5020" w14:textId="77777777" w:rsidR="00F233DC" w:rsidRDefault="00BB56D9">
            <w:pPr>
              <w:spacing w:after="20"/>
              <w:rPr>
                <w:rFonts w:hint="eastAsia"/>
              </w:rPr>
            </w:pPr>
            <w:r>
              <w:rPr>
                <w:sz w:val="17"/>
              </w:rPr>
              <w:t>Governing analytical question</w:t>
            </w:r>
          </w:p>
        </w:tc>
        <w:tc>
          <w:tcPr>
            <w:tcW w:w="5227" w:type="dxa"/>
            <w:tcMar>
              <w:top w:w="70" w:type="dxa"/>
              <w:left w:w="90" w:type="dxa"/>
              <w:bottom w:w="70" w:type="dxa"/>
              <w:right w:w="90" w:type="dxa"/>
            </w:tcMar>
          </w:tcPr>
          <w:p>
            <w:pPr>
              <w:spacing w:after="80"/>
            </w:pPr>
            <w:r>
              <w:rPr>
                <w:sz w:val="20"/>
              </w:rPr>
              <w:t>Which adopter categories are relevant, and how do relative advantage, compatibility, complexity, trialability and observability affect diffusion and adoption timing? Distinguish technology, proposed application, and industry/peer diffusion.</w:t>
            </w:r>
          </w:p>
        </w:tc>
      </w:tr>
      <w:tr w:rsidR="00F233DC" w14:paraId="57BE5025" w14:textId="77777777">
        <w:trPr>
          <w:jc w:val="center"/>
          <w:cantSplit/>
        </w:trPr>
        <w:tc>
          <w:tcPr>
            <w:tcW w:w="5227" w:type="dxa"/>
            <w:tcMar>
              <w:top w:w="70" w:type="dxa"/>
              <w:left w:w="90" w:type="dxa"/>
              <w:bottom w:w="70" w:type="dxa"/>
              <w:right w:w="90" w:type="dxa"/>
            </w:tcMar>
          </w:tcPr>
          <w:p w14:paraId="57BE5023" w14:textId="77777777" w:rsidR="00F233DC" w:rsidRDefault="00BB56D9">
            <w:pPr>
              <w:spacing w:after="20"/>
              <w:rPr>
                <w:rFonts w:hint="eastAsia"/>
              </w:rPr>
            </w:pPr>
            <w:r>
              <w:rPr>
                <w:sz w:val="17"/>
              </w:rPr>
              <w:t>Emerging technology</w:t>
            </w:r>
          </w:p>
        </w:tc>
        <w:tc>
          <w:tcPr>
            <w:tcW w:w="5227" w:type="dxa"/>
            <w:tcMar>
              <w:top w:w="70" w:type="dxa"/>
              <w:left w:w="90" w:type="dxa"/>
              <w:bottom w:w="70" w:type="dxa"/>
              <w:right w:w="90" w:type="dxa"/>
            </w:tcMar>
          </w:tcPr>
          <w:p>
            <w:pPr>
              <w:spacing w:after="80"/>
            </w:pPr>
            <w:r>
              <w:rPr>
                <w:sz w:val="20"/>
              </w:rPr>
              <w:t>Retrieval-augmented generation (RAG) using a language model; synthetic evaluation case.</w:t>
            </w:r>
          </w:p>
        </w:tc>
      </w:tr>
      <w:tr w:rsidR="00F233DC" w14:paraId="57BE5028" w14:textId="77777777">
        <w:trPr>
          <w:jc w:val="center"/>
          <w:cantSplit/>
        </w:trPr>
        <w:tc>
          <w:tcPr>
            <w:tcW w:w="5227" w:type="dxa"/>
            <w:tcMar>
              <w:top w:w="70" w:type="dxa"/>
              <w:left w:w="90" w:type="dxa"/>
              <w:bottom w:w="70" w:type="dxa"/>
              <w:right w:w="90" w:type="dxa"/>
            </w:tcMar>
          </w:tcPr>
          <w:p w14:paraId="57BE5026" w14:textId="77777777" w:rsidR="00F233DC" w:rsidRDefault="00BB56D9">
            <w:pPr>
              <w:spacing w:after="20"/>
              <w:rPr>
                <w:rFonts w:hint="eastAsia"/>
              </w:rPr>
            </w:pPr>
            <w:r>
              <w:rPr>
                <w:sz w:val="17"/>
              </w:rPr>
              <w:t>Intended application</w:t>
            </w:r>
          </w:p>
        </w:tc>
        <w:tc>
          <w:tcPr>
            <w:tcW w:w="5227" w:type="dxa"/>
            <w:tcMar>
              <w:top w:w="70" w:type="dxa"/>
              <w:left w:w="90" w:type="dxa"/>
              <w:bottom w:w="70" w:type="dxa"/>
              <w:right w:w="90" w:type="dxa"/>
            </w:tcMar>
          </w:tcPr>
          <w:p>
            <w:pPr>
              <w:spacing w:after="80"/>
            </w:pPr>
            <w:r>
              <w:rPr>
                <w:sz w:val="20"/>
              </w:rPr>
              <w:t>Draft internal IT knowledge answers for mandatory staff review; no autonomous actions.</w:t>
            </w:r>
          </w:p>
        </w:tc>
      </w:tr>
      <w:tr w:rsidR="00F233DC" w14:paraId="57BE502B" w14:textId="77777777">
        <w:trPr>
          <w:jc w:val="center"/>
          <w:cantSplit/>
        </w:trPr>
        <w:tc>
          <w:tcPr>
            <w:tcW w:w="5227" w:type="dxa"/>
            <w:tcMar>
              <w:top w:w="70" w:type="dxa"/>
              <w:left w:w="90" w:type="dxa"/>
              <w:bottom w:w="70" w:type="dxa"/>
              <w:right w:w="90" w:type="dxa"/>
            </w:tcMar>
          </w:tcPr>
          <w:p w14:paraId="57BE5029" w14:textId="77777777" w:rsidR="00F233DC" w:rsidRDefault="00BB56D9">
            <w:pPr>
              <w:spacing w:after="20"/>
              <w:rPr>
                <w:rFonts w:hint="eastAsia"/>
              </w:rPr>
            </w:pPr>
            <w:r>
              <w:rPr>
                <w:sz w:val="17"/>
              </w:rPr>
              <w:t>Organization / industry</w:t>
            </w:r>
          </w:p>
        </w:tc>
        <w:tc>
          <w:tcPr>
            <w:tcW w:w="5227" w:type="dxa"/>
            <w:tcMar>
              <w:top w:w="70" w:type="dxa"/>
              <w:left w:w="90" w:type="dxa"/>
              <w:bottom w:w="70" w:type="dxa"/>
              <w:right w:w="90" w:type="dxa"/>
            </w:tcMar>
          </w:tcPr>
          <w:p>
            <w:pPr>
              <w:spacing w:after="80"/>
            </w:pPr>
            <w:r>
              <w:rPr>
                <w:sz w:val="20"/>
              </w:rPr>
              <w:t>Synthetic Regional Services Co.; midsize regional US service organizations. All counts and organizational histories are test assumptions, not real-world research.</w:t>
            </w:r>
          </w:p>
        </w:tc>
      </w:tr>
      <w:tr w:rsidR="00F233DC" w14:paraId="57BE502E" w14:textId="77777777">
        <w:trPr>
          <w:jc w:val="center"/>
          <w:cantSplit/>
        </w:trPr>
        <w:tc>
          <w:tcPr>
            <w:tcW w:w="5227" w:type="dxa"/>
            <w:tcMar>
              <w:top w:w="70" w:type="dxa"/>
              <w:left w:w="90" w:type="dxa"/>
              <w:bottom w:w="70" w:type="dxa"/>
              <w:right w:w="90" w:type="dxa"/>
            </w:tcMar>
          </w:tcPr>
          <w:p w14:paraId="57BE502C" w14:textId="77777777" w:rsidR="00F233DC" w:rsidRDefault="00BB56D9">
            <w:pPr>
              <w:spacing w:after="20"/>
              <w:rPr>
                <w:rFonts w:hint="eastAsia"/>
              </w:rPr>
            </w:pPr>
            <w:r>
              <w:rPr>
                <w:sz w:val="17"/>
              </w:rPr>
              <w:t>Adoption posture</w:t>
            </w:r>
          </w:p>
        </w:tc>
        <w:tc>
          <w:tcPr>
            <w:tcW w:w="5227" w:type="dxa"/>
            <w:tcMar>
              <w:top w:w="70" w:type="dxa"/>
              <w:left w:w="90" w:type="dxa"/>
              <w:bottom w:w="70" w:type="dxa"/>
              <w:right w:w="90" w:type="dxa"/>
            </w:tcMar>
          </w:tcPr>
          <w:p>
            <w:pPr>
              <w:spacing w:after="80"/>
            </w:pPr>
            <w:r>
              <w:rPr>
                <w:sz w:val="20"/>
              </w:rPr>
              <w:t>Primary: innovator/early adopter behavior, supported by three stipulated prior decisions to fund safeguarded pilots before peer validation. Contrast: conservative behavior requiring stronger peer outcomes. No fast-follower test was run; posture is distinct from Rogers’ adopter categories.</w:t>
            </w:r>
          </w:p>
        </w:tc>
      </w:tr>
      <w:tr w:rsidR="00F233DC" w14:paraId="57BE5031" w14:textId="77777777">
        <w:trPr>
          <w:jc w:val="center"/>
          <w:cantSplit/>
        </w:trPr>
        <w:tc>
          <w:tcPr>
            <w:tcW w:w="5227" w:type="dxa"/>
            <w:tcMar>
              <w:top w:w="70" w:type="dxa"/>
              <w:left w:w="90" w:type="dxa"/>
              <w:bottom w:w="70" w:type="dxa"/>
              <w:right w:w="90" w:type="dxa"/>
            </w:tcMar>
          </w:tcPr>
          <w:p w14:paraId="57BE502F" w14:textId="77777777" w:rsidR="00F233DC" w:rsidRDefault="00BB56D9">
            <w:pPr>
              <w:spacing w:after="20"/>
              <w:rPr>
                <w:rFonts w:hint="eastAsia"/>
              </w:rPr>
            </w:pPr>
            <w:r>
              <w:rPr>
                <w:sz w:val="17"/>
              </w:rPr>
              <w:t>Risk / consequence context</w:t>
            </w:r>
          </w:p>
        </w:tc>
        <w:tc>
          <w:tcPr>
            <w:tcW w:w="5227" w:type="dxa"/>
            <w:tcMar>
              <w:top w:w="70" w:type="dxa"/>
              <w:left w:w="90" w:type="dxa"/>
              <w:bottom w:w="70" w:type="dxa"/>
              <w:right w:w="90" w:type="dxa"/>
            </w:tcMar>
          </w:tcPr>
          <w:p>
            <w:pPr>
              <w:spacing w:after="80"/>
            </w:pPr>
            <w:r>
              <w:rPr>
                <w:sz w:val="20"/>
              </w:rPr>
              <w:t>Incorrect answers and internal information exposure. Require access controls, approved documents, logging, a security reviewer and human review. Posture does not relax safeguards.</w:t>
            </w:r>
          </w:p>
        </w:tc>
      </w:tr>
      <w:tr w:rsidR="00F233DC" w14:paraId="57BE5034" w14:textId="77777777">
        <w:trPr>
          <w:jc w:val="center"/>
          <w:cantSplit/>
        </w:trPr>
        <w:tc>
          <w:tcPr>
            <w:tcW w:w="5227" w:type="dxa"/>
            <w:tcMar>
              <w:top w:w="70" w:type="dxa"/>
              <w:left w:w="90" w:type="dxa"/>
              <w:bottom w:w="70" w:type="dxa"/>
              <w:right w:w="90" w:type="dxa"/>
            </w:tcMar>
          </w:tcPr>
          <w:p w14:paraId="57BE5032" w14:textId="77777777" w:rsidR="00F233DC" w:rsidRDefault="00BB56D9">
            <w:pPr>
              <w:spacing w:after="20"/>
              <w:rPr>
                <w:rFonts w:hint="eastAsia"/>
              </w:rPr>
            </w:pPr>
            <w:r>
              <w:rPr>
                <w:sz w:val="17"/>
              </w:rPr>
              <w:t>Management question / time horizon</w:t>
            </w:r>
          </w:p>
        </w:tc>
        <w:tc>
          <w:tcPr>
            <w:tcW w:w="5227" w:type="dxa"/>
            <w:tcMar>
              <w:top w:w="70" w:type="dxa"/>
              <w:left w:w="90" w:type="dxa"/>
              <w:bottom w:w="70" w:type="dxa"/>
              <w:right w:w="90" w:type="dxa"/>
            </w:tcMar>
          </w:tcPr>
          <w:p>
            <w:pPr>
              <w:spacing w:after="80"/>
            </w:pPr>
            <w:r>
              <w:rPr>
                <w:sz w:val="20"/>
              </w:rPr>
              <w:t>When should a trial or production adoption begin? Six months from the synthetic October 25, 2026 snapshot.</w:t>
            </w:r>
          </w:p>
        </w:tc>
      </w:tr>
    </w:tbl>
    <w:p w14:paraId="57BE5035" w14:textId="77777777" w:rsidR="00F233DC" w:rsidRDefault="00BB56D9">
      <w:pPr>
        <w:pStyle w:val="Heading1"/>
      </w:pPr>
      <w:r>
        <w:t>C. Three-Level Finding</w:t>
      </w:r>
    </w:p>
    <w:tbl>
      <w:tblPr>
        <w:tblStyle w:val="TableGrid"/>
        <w:tblW w:w="0" w:type="auto"/>
        <w:jc w:val="center"/>
        <w:tblLook w:val="04A0" w:firstRow="1" w:lastRow="0" w:firstColumn="1" w:lastColumn="0" w:noHBand="0" w:noVBand="1"/>
      </w:tblPr>
      <w:tblGrid>
        <w:gridCol w:w="5222"/>
        <w:gridCol w:w="5222"/>
      </w:tblGrid>
      <w:tr w:rsidR="00F233DC" w14:paraId="57BE5038" w14:textId="77777777">
        <w:trPr>
          <w:jc w:val="center"/>
          <w:cantSplit/>
          <w:tblHeader/>
        </w:trPr>
        <w:tc>
          <w:tcPr>
            <w:tcW w:w="5227" w:type="dxa"/>
            <w:shd w:val="clear" w:color="auto" w:fill="57068C"/>
            <w:tcMar>
              <w:top w:w="70" w:type="dxa"/>
              <w:left w:w="90" w:type="dxa"/>
              <w:bottom w:w="70" w:type="dxa"/>
              <w:right w:w="90" w:type="dxa"/>
            </w:tcMar>
          </w:tcPr>
          <w:p w14:paraId="57BE5036" w14:textId="77777777" w:rsidR="00F233DC" w:rsidRDefault="00BB56D9">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7BE5037" w14:textId="77777777" w:rsidR="00F233DC" w:rsidRDefault="00BB56D9">
            <w:pPr>
              <w:spacing w:after="20"/>
              <w:rPr>
                <w:rFonts w:hint="eastAsia"/>
              </w:rPr>
            </w:pPr>
            <w:r>
              <w:rPr>
                <w:b/>
                <w:color w:val="FFFFFF"/>
                <w:sz w:val="17"/>
              </w:rPr>
              <w:t>Student record</w:t>
            </w:r>
          </w:p>
        </w:tc>
      </w:tr>
      <w:tr w:rsidR="00F233DC" w14:paraId="57BE503B" w14:textId="77777777">
        <w:trPr>
          <w:jc w:val="center"/>
          <w:cantSplit/>
        </w:trPr>
        <w:tc>
          <w:tcPr>
            <w:tcW w:w="5227" w:type="dxa"/>
            <w:tcMar>
              <w:top w:w="70" w:type="dxa"/>
              <w:left w:w="90" w:type="dxa"/>
              <w:bottom w:w="70" w:type="dxa"/>
              <w:right w:w="90" w:type="dxa"/>
            </w:tcMar>
          </w:tcPr>
          <w:p w14:paraId="57BE5039" w14:textId="77777777" w:rsidR="00F233DC" w:rsidRDefault="00BB56D9">
            <w:pPr>
              <w:spacing w:after="20"/>
              <w:rPr>
                <w:rFonts w:hint="eastAsia"/>
              </w:rPr>
            </w:pPr>
            <w:r>
              <w:rPr>
                <w:sz w:val="17"/>
              </w:rPr>
              <w:t>ET generally</w:t>
            </w:r>
          </w:p>
        </w:tc>
        <w:tc>
          <w:tcPr>
            <w:tcW w:w="5227" w:type="dxa"/>
            <w:tcMar>
              <w:top w:w="70" w:type="dxa"/>
              <w:left w:w="90" w:type="dxa"/>
              <w:bottom w:w="70" w:type="dxa"/>
              <w:right w:w="90" w:type="dxa"/>
            </w:tcMar>
          </w:tcPr>
          <w:p>
            <w:pPr>
              <w:spacing w:after="80"/>
            </w:pPr>
            <w:r>
              <w:rPr>
                <w:sz w:val="20"/>
              </w:rPr>
              <w:t>Synthetic E1: 60/100 organizations in a US service-sector convenience panel use RAG in production for some use. This supports only panel prevalence, not a cross-industry or global Rogers diffusion stage. General benefits, fit and trial access vary by application.</w:t>
            </w:r>
          </w:p>
        </w:tc>
      </w:tr>
      <w:tr w:rsidR="00F233DC" w14:paraId="57BE503E" w14:textId="77777777">
        <w:trPr>
          <w:jc w:val="center"/>
          <w:cantSplit/>
        </w:trPr>
        <w:tc>
          <w:tcPr>
            <w:tcW w:w="5227" w:type="dxa"/>
            <w:tcMar>
              <w:top w:w="70" w:type="dxa"/>
              <w:left w:w="90" w:type="dxa"/>
              <w:bottom w:w="70" w:type="dxa"/>
              <w:right w:w="90" w:type="dxa"/>
            </w:tcMar>
          </w:tcPr>
          <w:p w14:paraId="57BE503C" w14:textId="77777777" w:rsidR="00F233DC" w:rsidRDefault="00BB56D9">
            <w:pPr>
              <w:spacing w:after="20"/>
              <w:rPr>
                <w:rFonts w:hint="eastAsia"/>
              </w:rPr>
            </w:pPr>
            <w:r>
              <w:rPr>
                <w:sz w:val="17"/>
              </w:rPr>
              <w:t>ET for this application</w:t>
            </w:r>
          </w:p>
        </w:tc>
        <w:tc>
          <w:tcPr>
            <w:tcW w:w="5227" w:type="dxa"/>
            <w:tcMar>
              <w:top w:w="70" w:type="dxa"/>
              <w:left w:w="90" w:type="dxa"/>
              <w:bottom w:w="70" w:type="dxa"/>
              <w:right w:w="90" w:type="dxa"/>
            </w:tcMar>
          </w:tcPr>
          <w:p>
            <w:pPr>
              <w:spacing w:after="80"/>
            </w:pPr>
            <w:r>
              <w:rPr>
                <w:sz w:val="20"/>
              </w:rPr>
              <w:t>Synthetic E2: 20 routine users, 30 pilots and 50 nonadopters for this application. Relative advantage is mixed: E4 reports 15% lower median handling time, but total costs are unknown. Compatibility is mixed; integration/monitoring complexity inhibits adoption. An eight-week reversible trial enables learning; observability remains mixed because longitudinal outcomes are sparse.</w:t>
            </w:r>
          </w:p>
        </w:tc>
      </w:tr>
      <w:tr w:rsidR="00F233DC" w14:paraId="57BE5041" w14:textId="77777777">
        <w:trPr>
          <w:jc w:val="center"/>
          <w:cantSplit/>
        </w:trPr>
        <w:tc>
          <w:tcPr>
            <w:tcW w:w="5227" w:type="dxa"/>
            <w:tcMar>
              <w:top w:w="70" w:type="dxa"/>
              <w:left w:w="90" w:type="dxa"/>
              <w:bottom w:w="70" w:type="dxa"/>
              <w:right w:w="90" w:type="dxa"/>
            </w:tcMar>
          </w:tcPr>
          <w:p w14:paraId="57BE503F" w14:textId="77777777" w:rsidR="00F233DC" w:rsidRDefault="00BB56D9">
            <w:pPr>
              <w:spacing w:after="20"/>
              <w:rPr>
                <w:rFonts w:hint="eastAsia"/>
              </w:rPr>
            </w:pPr>
            <w:r>
              <w:rPr>
                <w:sz w:val="17"/>
              </w:rPr>
              <w:t>ET for this application in this organization</w:t>
            </w:r>
          </w:p>
        </w:tc>
        <w:tc>
          <w:tcPr>
            <w:tcW w:w="5227" w:type="dxa"/>
            <w:tcMar>
              <w:top w:w="70" w:type="dxa"/>
              <w:left w:w="90" w:type="dxa"/>
              <w:bottom w:w="70" w:type="dxa"/>
              <w:right w:w="90" w:type="dxa"/>
            </w:tcMar>
          </w:tcPr>
          <w:p>
            <w:pPr>
              <w:spacing w:after="80"/>
            </w:pPr>
            <w:r>
              <w:rPr>
                <w:sz w:val="20"/>
              </w:rPr>
              <w:t>Synthetic E3: among 10 matched peers, two routine deployments, three pilots and five nonadopters; internal production adoption is absent. Approved documents, infrastructure and training support a trial; permissions and monitoring remain unvalidated. IT change agents and vendor connectors may help; trusted opinion leaders and external standards conformance are unknown. Organizational posture changes evidence thresholds and timing, not diffusion stage.</w:t>
            </w:r>
          </w:p>
        </w:tc>
      </w:tr>
      <w:tr w:rsidR="00F233DC" w14:paraId="57BE5044" w14:textId="77777777">
        <w:trPr>
          <w:jc w:val="center"/>
          <w:cantSplit/>
        </w:trPr>
        <w:tc>
          <w:tcPr>
            <w:tcW w:w="5227" w:type="dxa"/>
            <w:tcMar>
              <w:top w:w="70" w:type="dxa"/>
              <w:left w:w="90" w:type="dxa"/>
              <w:bottom w:w="70" w:type="dxa"/>
              <w:right w:w="90" w:type="dxa"/>
            </w:tcMar>
          </w:tcPr>
          <w:p w14:paraId="57BE5042" w14:textId="77777777" w:rsidR="00F233DC" w:rsidRDefault="00BB56D9">
            <w:pPr>
              <w:spacing w:after="20"/>
              <w:rPr>
                <w:rFonts w:hint="eastAsia"/>
              </w:rPr>
            </w:pPr>
            <w:r>
              <w:rPr>
                <w:sz w:val="17"/>
              </w:rPr>
              <w:t>Bounded management implication</w:t>
            </w:r>
          </w:p>
        </w:tc>
        <w:tc>
          <w:tcPr>
            <w:tcW w:w="5227" w:type="dxa"/>
            <w:tcMar>
              <w:top w:w="70" w:type="dxa"/>
              <w:left w:w="90" w:type="dxa"/>
              <w:bottom w:w="70" w:type="dxa"/>
              <w:right w:w="90" w:type="dxa"/>
            </w:tcMar>
          </w:tcPr>
          <w:p>
            <w:pPr>
              <w:spacing w:after="80"/>
            </w:pPr>
            <w:r>
              <w:rPr>
                <w:sz w:val="20"/>
              </w:rPr>
              <w:t>Primary: prepare now and begin an eight-week shadow pilot only after safeguards pass. Conservative contrast: perform readiness work but defer the operational trial until five of ten matched peers have six months of outcomes and independent reliability/cost review. Neither case authorizes broad rollout.</w:t>
            </w:r>
          </w:p>
        </w:tc>
      </w:tr>
      <w:tr w:rsidR="00F233DC" w14:paraId="57BE5047" w14:textId="77777777">
        <w:trPr>
          <w:jc w:val="center"/>
          <w:cantSplit/>
        </w:trPr>
        <w:tc>
          <w:tcPr>
            <w:tcW w:w="5227" w:type="dxa"/>
            <w:tcMar>
              <w:top w:w="70" w:type="dxa"/>
              <w:left w:w="90" w:type="dxa"/>
              <w:bottom w:w="70" w:type="dxa"/>
              <w:right w:w="90" w:type="dxa"/>
            </w:tcMar>
          </w:tcPr>
          <w:p w14:paraId="57BE5045" w14:textId="77777777" w:rsidR="00F233DC" w:rsidRDefault="00BB56D9">
            <w:pPr>
              <w:spacing w:after="20"/>
              <w:rPr>
                <w:rFonts w:hint="eastAsia"/>
              </w:rPr>
            </w:pPr>
            <w:r>
              <w:rPr>
                <w:sz w:val="17"/>
              </w:rPr>
              <w:t>Confidence / uncertainty</w:t>
            </w:r>
          </w:p>
        </w:tc>
        <w:tc>
          <w:tcPr>
            <w:tcW w:w="5227" w:type="dxa"/>
            <w:tcMar>
              <w:top w:w="70" w:type="dxa"/>
              <w:left w:w="90" w:type="dxa"/>
              <w:bottom w:w="70" w:type="dxa"/>
              <w:right w:w="90" w:type="dxa"/>
            </w:tcMar>
          </w:tcPr>
          <w:p>
            <w:pPr>
              <w:spacing w:after="80"/>
            </w:pPr>
            <w:r>
              <w:rPr>
                <w:sz w:val="20"/>
              </w:rPr>
              <w:t>High confidence in consistency with stipulated counts; moderate confidence in posture-based timing logic. Real-world generalization and formal diffusion stage remain unsupported. Actor effects are plausible inferences, not demonstrated causal findings.</w:t>
            </w:r>
          </w:p>
        </w:tc>
      </w:tr>
      <w:tr w:rsidR="00F233DC" w14:paraId="57BE504A" w14:textId="77777777">
        <w:trPr>
          <w:jc w:val="center"/>
          <w:cantSplit/>
        </w:trPr>
        <w:tc>
          <w:tcPr>
            <w:tcW w:w="5227" w:type="dxa"/>
            <w:tcMar>
              <w:top w:w="70" w:type="dxa"/>
              <w:left w:w="90" w:type="dxa"/>
              <w:bottom w:w="70" w:type="dxa"/>
              <w:right w:w="90" w:type="dxa"/>
            </w:tcMar>
          </w:tcPr>
          <w:p w14:paraId="57BE5048" w14:textId="77777777" w:rsidR="00F233DC" w:rsidRDefault="00BB56D9">
            <w:pPr>
              <w:spacing w:after="20"/>
              <w:rPr>
                <w:rFonts w:hint="eastAsia"/>
              </w:rPr>
            </w:pPr>
            <w:r>
              <w:rPr>
                <w:sz w:val="17"/>
              </w:rPr>
              <w:t>What evidence or condition would change the conclusion</w:t>
            </w:r>
          </w:p>
        </w:tc>
        <w:tc>
          <w:tcPr>
            <w:tcW w:w="5227" w:type="dxa"/>
            <w:tcMar>
              <w:top w:w="70" w:type="dxa"/>
              <w:left w:w="90" w:type="dxa"/>
              <w:bottom w:w="70" w:type="dxa"/>
              <w:right w:w="90" w:type="dxa"/>
            </w:tcMar>
          </w:tcPr>
          <w:p>
            <w:pPr>
              <w:spacing w:after="80"/>
            </w:pPr>
            <w:r>
              <w:rPr>
                <w:sz w:val="20"/>
              </w:rPr>
              <w:t>Representative, dated application-specific adoption data; longitudinal peer outcomes; lifecycle costs; local accuracy, exposure and review-burden results; validated controls; changes in interoperability, standards or complementary assets. A posture-only change must not change diffusion evidence.</w:t>
            </w:r>
          </w:p>
        </w:tc>
      </w:tr>
    </w:tbl>
    <w:p w14:paraId="57BE504B" w14:textId="77777777" w:rsidR="00F233DC" w:rsidRDefault="00BB56D9">
      <w:pPr>
        <w:pStyle w:val="Heading1"/>
      </w:pPr>
      <w:r>
        <w:lastRenderedPageBreak/>
        <w:t>D. Evidence and Testing</w:t>
      </w:r>
    </w:p>
    <w:tbl>
      <w:tblPr>
        <w:tblStyle w:val="TableGrid"/>
        <w:tblW w:w="0" w:type="auto"/>
        <w:jc w:val="center"/>
        <w:tblLook w:val="04A0" w:firstRow="1" w:lastRow="0" w:firstColumn="1" w:lastColumn="0" w:noHBand="0" w:noVBand="1"/>
      </w:tblPr>
      <w:tblGrid>
        <w:gridCol w:w="5223"/>
        <w:gridCol w:w="5221"/>
      </w:tblGrid>
      <w:tr w:rsidR="00F233DC" w14:paraId="57BE504E" w14:textId="77777777">
        <w:trPr>
          <w:jc w:val="center"/>
          <w:cantSplit/>
          <w:tblHeader/>
        </w:trPr>
        <w:tc>
          <w:tcPr>
            <w:tcW w:w="5227" w:type="dxa"/>
            <w:shd w:val="clear" w:color="auto" w:fill="57068C"/>
            <w:tcMar>
              <w:top w:w="70" w:type="dxa"/>
              <w:left w:w="90" w:type="dxa"/>
              <w:bottom w:w="70" w:type="dxa"/>
              <w:right w:w="90" w:type="dxa"/>
            </w:tcMar>
          </w:tcPr>
          <w:p w14:paraId="57BE504C" w14:textId="77777777" w:rsidR="00F233DC" w:rsidRDefault="00BB56D9">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7BE504D" w14:textId="77777777" w:rsidR="00F233DC" w:rsidRDefault="00BB56D9">
            <w:pPr>
              <w:spacing w:after="20"/>
              <w:rPr>
                <w:rFonts w:hint="eastAsia"/>
              </w:rPr>
            </w:pPr>
            <w:r>
              <w:rPr>
                <w:b/>
                <w:color w:val="FFFFFF"/>
                <w:sz w:val="17"/>
              </w:rPr>
              <w:t>Student record</w:t>
            </w:r>
          </w:p>
        </w:tc>
      </w:tr>
      <w:tr w:rsidR="00F233DC" w14:paraId="57BE5051" w14:textId="77777777">
        <w:trPr>
          <w:jc w:val="center"/>
          <w:cantSplit/>
        </w:trPr>
        <w:tc>
          <w:tcPr>
            <w:tcW w:w="5227" w:type="dxa"/>
            <w:tcMar>
              <w:top w:w="70" w:type="dxa"/>
              <w:left w:w="90" w:type="dxa"/>
              <w:bottom w:w="70" w:type="dxa"/>
              <w:right w:w="90" w:type="dxa"/>
            </w:tcMar>
          </w:tcPr>
          <w:p w14:paraId="57BE504F" w14:textId="77777777" w:rsidR="00F233DC" w:rsidRDefault="00BB56D9">
            <w:pPr>
              <w:spacing w:after="20"/>
              <w:rPr>
                <w:rFonts w:hint="eastAsia"/>
              </w:rPr>
            </w:pPr>
            <w:r>
              <w:rPr>
                <w:sz w:val="17"/>
              </w:rPr>
              <w:t>Most important evidence/source(s)</w:t>
            </w:r>
          </w:p>
        </w:tc>
        <w:tc>
          <w:tcPr>
            <w:tcW w:w="5227" w:type="dxa"/>
            <w:tcMar>
              <w:top w:w="70" w:type="dxa"/>
              <w:left w:w="90" w:type="dxa"/>
              <w:bottom w:w="70" w:type="dxa"/>
              <w:right w:w="90" w:type="dxa"/>
            </w:tcMar>
          </w:tcPr>
          <w:p>
            <w:pPr>
              <w:spacing w:after="80"/>
            </w:pPr>
            <w:r>
              <w:rPr>
                <w:sz w:val="20"/>
              </w:rPr>
              <w:t>Synthetic snapshot S1, E1–E6 in cases/primary.json and cases/contrast_1.json: panel/peer counts, pilot benefit, assets and implementation support. These are fixtures, not verified external sources. Audit trail at the selected commit: records/test_report.md; records/evidence_limitation_review.md; archived prompts and JSON responses under agents/diffusion_agent/.</w:t>
            </w:r>
          </w:p>
        </w:tc>
      </w:tr>
      <w:tr w:rsidR="00F233DC" w14:paraId="57BE5054" w14:textId="77777777">
        <w:trPr>
          <w:jc w:val="center"/>
          <w:cantSplit/>
        </w:trPr>
        <w:tc>
          <w:tcPr>
            <w:tcW w:w="5227" w:type="dxa"/>
            <w:tcMar>
              <w:top w:w="70" w:type="dxa"/>
              <w:left w:w="90" w:type="dxa"/>
              <w:bottom w:w="70" w:type="dxa"/>
              <w:right w:w="90" w:type="dxa"/>
            </w:tcMar>
          </w:tcPr>
          <w:p w14:paraId="57BE5052" w14:textId="77777777" w:rsidR="00F233DC" w:rsidRDefault="00BB56D9">
            <w:pPr>
              <w:spacing w:after="20"/>
              <w:rPr>
                <w:rFonts w:hint="eastAsia"/>
              </w:rPr>
            </w:pPr>
            <w:r>
              <w:rPr>
                <w:sz w:val="17"/>
              </w:rPr>
              <w:t>Primary test - result</w:t>
            </w:r>
          </w:p>
        </w:tc>
        <w:tc>
          <w:tcPr>
            <w:tcW w:w="5227" w:type="dxa"/>
            <w:tcMar>
              <w:top w:w="70" w:type="dxa"/>
              <w:left w:w="90" w:type="dxa"/>
              <w:bottom w:w="70" w:type="dxa"/>
              <w:right w:w="90" w:type="dxa"/>
            </w:tcMar>
          </w:tcPr>
          <w:p>
            <w:pPr>
              <w:spacing w:after="80"/>
            </w:pPr>
            <w:r>
              <w:rPr>
                <w:sz w:val="20"/>
              </w:rPr>
              <w:t>Assistant-executed primary evaluation recommended a safeguarded eight-week shadow pilot. Prompt assembly, basic response validation, full input/output JSON Schema validation and frozen-core checks passed. This was a bounded qualitative smoke evaluation, not an independent API run.</w:t>
            </w:r>
          </w:p>
        </w:tc>
      </w:tr>
      <w:tr w:rsidR="00F233DC" w14:paraId="57BE5057" w14:textId="77777777">
        <w:trPr>
          <w:jc w:val="center"/>
          <w:cantSplit/>
        </w:trPr>
        <w:tc>
          <w:tcPr>
            <w:tcW w:w="5227" w:type="dxa"/>
            <w:tcMar>
              <w:top w:w="70" w:type="dxa"/>
              <w:left w:w="90" w:type="dxa"/>
              <w:bottom w:w="70" w:type="dxa"/>
              <w:right w:w="90" w:type="dxa"/>
            </w:tcMar>
          </w:tcPr>
          <w:p w14:paraId="57BE5055" w14:textId="77777777" w:rsidR="00F233DC" w:rsidRDefault="00BB56D9">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pPr>
              <w:spacing w:after="80"/>
            </w:pPr>
            <w:r>
              <w:rPr>
                <w:sz w:val="20"/>
              </w:rPr>
              <w:t>Technology, application, organization identity, capabilities, risk, time horizon and synthetic evidence stayed fixed. General/application findings and evidence were identical; peer counts, internal nonadoption and stage uncertainty remained stable.</w:t>
            </w:r>
          </w:p>
        </w:tc>
      </w:tr>
      <w:tr w:rsidR="00F233DC" w14:paraId="57BE505A" w14:textId="77777777">
        <w:trPr>
          <w:jc w:val="center"/>
          <w:cantSplit/>
        </w:trPr>
        <w:tc>
          <w:tcPr>
            <w:tcW w:w="5227" w:type="dxa"/>
            <w:tcMar>
              <w:top w:w="70" w:type="dxa"/>
              <w:left w:w="90" w:type="dxa"/>
              <w:bottom w:w="70" w:type="dxa"/>
              <w:right w:w="90" w:type="dxa"/>
            </w:tcMar>
          </w:tcPr>
          <w:p w14:paraId="57BE5058" w14:textId="77777777" w:rsidR="00F233DC" w:rsidRDefault="00BB56D9">
            <w:pPr>
              <w:spacing w:after="20"/>
              <w:rPr>
                <w:rFonts w:hint="eastAsia"/>
              </w:rPr>
            </w:pPr>
            <w:r>
              <w:rPr>
                <w:sz w:val="17"/>
              </w:rPr>
              <w:t>Contrast test - what appropriately changed</w:t>
            </w:r>
          </w:p>
        </w:tc>
        <w:tc>
          <w:tcPr>
            <w:tcW w:w="5227" w:type="dxa"/>
            <w:tcMar>
              <w:top w:w="70" w:type="dxa"/>
              <w:left w:w="90" w:type="dxa"/>
              <w:bottom w:w="70" w:type="dxa"/>
              <w:right w:w="90" w:type="dxa"/>
            </w:tcMar>
          </w:tcPr>
          <w:p>
            <w:pPr>
              <w:spacing w:after="80"/>
            </w:pPr>
            <w:r>
              <w:rPr>
                <w:sz w:val="20"/>
              </w:rPr>
              <w:t>Only adoption_posture and its stipulated behavioral basis changed. The conservative case deferred the operational trial until its peer-outcome threshold is met; readiness work may begin now. No attainment date was promised; safeguards stayed fixed.</w:t>
            </w:r>
          </w:p>
        </w:tc>
      </w:tr>
      <w:tr w:rsidR="00F233DC" w14:paraId="57BE505D" w14:textId="77777777">
        <w:trPr>
          <w:jc w:val="center"/>
          <w:cantSplit/>
        </w:trPr>
        <w:tc>
          <w:tcPr>
            <w:tcW w:w="5227" w:type="dxa"/>
            <w:tcMar>
              <w:top w:w="70" w:type="dxa"/>
              <w:left w:w="90" w:type="dxa"/>
              <w:bottom w:w="70" w:type="dxa"/>
              <w:right w:w="90" w:type="dxa"/>
            </w:tcMar>
          </w:tcPr>
          <w:p w14:paraId="57BE505B" w14:textId="77777777" w:rsidR="00F233DC" w:rsidRDefault="00BB56D9">
            <w:pPr>
              <w:spacing w:after="20"/>
              <w:rPr>
                <w:rFonts w:hint="eastAsia"/>
              </w:rPr>
            </w:pPr>
            <w:r>
              <w:rPr>
                <w:sz w:val="17"/>
              </w:rPr>
              <w:t>Weakness/failure found</w:t>
            </w:r>
          </w:p>
        </w:tc>
        <w:tc>
          <w:tcPr>
            <w:tcW w:w="5227" w:type="dxa"/>
            <w:tcMar>
              <w:top w:w="70" w:type="dxa"/>
              <w:left w:w="90" w:type="dxa"/>
              <w:bottom w:w="70" w:type="dxa"/>
              <w:right w:w="90" w:type="dxa"/>
            </w:tcMar>
          </w:tcPr>
          <w:p>
            <w:pPr>
              <w:spacing w:after="80"/>
            </w:pPr>
            <w:r>
              <w:rPr>
                <w:sz w:val="20"/>
              </w:rPr>
              <w:t>Scope-challenge claim: “RAG has reached the early-majority stage across industries and geographies.” This was deliberately proposed for review, not asserted by the saved responses. The synthetic US service-sector convenience sample is narrow and unrepresentative; prevalence alone cannot establish a Rogers stage. The defect is scope/method, not demonstrated staleness.</w:t>
            </w:r>
          </w:p>
        </w:tc>
      </w:tr>
      <w:tr w:rsidR="00F233DC" w14:paraId="57BE5060" w14:textId="77777777">
        <w:trPr>
          <w:jc w:val="center"/>
          <w:cantSplit/>
        </w:trPr>
        <w:tc>
          <w:tcPr>
            <w:tcW w:w="5227" w:type="dxa"/>
            <w:tcMar>
              <w:top w:w="70" w:type="dxa"/>
              <w:left w:w="90" w:type="dxa"/>
              <w:bottom w:w="70" w:type="dxa"/>
              <w:right w:w="90" w:type="dxa"/>
            </w:tcMar>
          </w:tcPr>
          <w:p w14:paraId="57BE505E" w14:textId="77777777" w:rsidR="00F233DC" w:rsidRDefault="00BB56D9">
            <w:pPr>
              <w:spacing w:after="20"/>
              <w:rPr>
                <w:rFonts w:hint="eastAsia"/>
              </w:rPr>
            </w:pPr>
            <w:r>
              <w:rPr>
                <w:sz w:val="17"/>
              </w:rPr>
              <w:t>Revision made and why</w:t>
            </w:r>
          </w:p>
        </w:tc>
        <w:tc>
          <w:tcPr>
            <w:tcW w:w="5227" w:type="dxa"/>
            <w:tcMar>
              <w:top w:w="70" w:type="dxa"/>
              <w:left w:w="90" w:type="dxa"/>
              <w:bottom w:w="70" w:type="dxa"/>
              <w:right w:w="90" w:type="dxa"/>
            </w:tcMar>
          </w:tcPr>
          <w:p>
            <w:pPr>
              <w:spacing w:after="80"/>
            </w:pPr>
            <w:r>
              <w:rPr>
                <w:sz w:val="20"/>
              </w:rPr>
              <w:t>At e6be84c, required an explicit weak-claim diagnosis: exact claim, source/date/scope, limitation, narrower defensible finding, reduced confidence, missing evidence and management consequence. Added a scope-challenge criterion. Earlier revisions added adopter categories, five characteristics, diffusion scopes, actors/forces and posture separation.</w:t>
            </w:r>
          </w:p>
        </w:tc>
      </w:tr>
      <w:tr w:rsidR="00F233DC" w14:paraId="57BE5063" w14:textId="77777777">
        <w:trPr>
          <w:jc w:val="center"/>
          <w:cantSplit/>
        </w:trPr>
        <w:tc>
          <w:tcPr>
            <w:tcW w:w="5227" w:type="dxa"/>
            <w:tcMar>
              <w:top w:w="70" w:type="dxa"/>
              <w:left w:w="90" w:type="dxa"/>
              <w:bottom w:w="70" w:type="dxa"/>
              <w:right w:w="90" w:type="dxa"/>
            </w:tcMar>
          </w:tcPr>
          <w:p w14:paraId="57BE5061" w14:textId="77777777" w:rsidR="00F233DC" w:rsidRDefault="00BB56D9">
            <w:pPr>
              <w:spacing w:after="20"/>
              <w:rPr>
                <w:rFonts w:hint="eastAsia"/>
              </w:rPr>
            </w:pPr>
            <w:r>
              <w:rPr>
                <w:sz w:val="17"/>
              </w:rPr>
              <w:t>Remaining limitation / abstention condition</w:t>
            </w:r>
          </w:p>
        </w:tc>
        <w:tc>
          <w:tcPr>
            <w:tcW w:w="5227" w:type="dxa"/>
            <w:tcMar>
              <w:top w:w="70" w:type="dxa"/>
              <w:left w:w="90" w:type="dxa"/>
              <w:bottom w:w="70" w:type="dxa"/>
              <w:right w:w="90" w:type="dxa"/>
            </w:tcMar>
          </w:tcPr>
          <w:p>
            <w:pPr>
              <w:spacing w:after="80"/>
            </w:pPr>
            <w:r>
              <w:rPr>
                <w:sz w:val="20"/>
              </w:rPr>
              <w:t>Do not infer a real-world stage from synthetic fixtures or force adopter classifications without timing evidence. Tests used instructions at 27e5262; e6be84c adds a manually reviewed evidence-limitation revision, with no new independent model run. No application-change contrast, fast-follower case, repeated sampling or adversarial testing was performed.</w:t>
            </w:r>
          </w:p>
        </w:tc>
      </w:tr>
    </w:tbl>
    <w:p w14:paraId="57BE5064" w14:textId="77777777" w:rsidR="00F233DC" w:rsidRDefault="00BB56D9">
      <w:pPr>
        <w:pStyle w:val="Heading1"/>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F233DC" w14:paraId="57BE5067" w14:textId="77777777">
        <w:trPr>
          <w:jc w:val="center"/>
          <w:cantSplit/>
          <w:tblHeader/>
        </w:trPr>
        <w:tc>
          <w:tcPr>
            <w:tcW w:w="5227" w:type="dxa"/>
            <w:shd w:val="clear" w:color="auto" w:fill="57068C"/>
            <w:tcMar>
              <w:top w:w="70" w:type="dxa"/>
              <w:left w:w="90" w:type="dxa"/>
              <w:bottom w:w="70" w:type="dxa"/>
              <w:right w:w="90" w:type="dxa"/>
            </w:tcMar>
          </w:tcPr>
          <w:p w14:paraId="57BE5065" w14:textId="77777777" w:rsidR="00F233DC" w:rsidRDefault="00BB56D9">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7BE5066" w14:textId="77777777" w:rsidR="00F233DC" w:rsidRDefault="00BB56D9">
            <w:pPr>
              <w:spacing w:after="20"/>
              <w:rPr>
                <w:rFonts w:hint="eastAsia"/>
              </w:rPr>
            </w:pPr>
            <w:r>
              <w:rPr>
                <w:b/>
                <w:color w:val="FFFFFF"/>
                <w:sz w:val="17"/>
              </w:rPr>
              <w:t>Student record</w:t>
            </w:r>
          </w:p>
        </w:tc>
      </w:tr>
      <w:tr w:rsidR="00F233DC" w14:paraId="57BE506A" w14:textId="77777777">
        <w:trPr>
          <w:jc w:val="center"/>
          <w:cantSplit/>
        </w:trPr>
        <w:tc>
          <w:tcPr>
            <w:tcW w:w="5227" w:type="dxa"/>
            <w:tcMar>
              <w:top w:w="70" w:type="dxa"/>
              <w:left w:w="90" w:type="dxa"/>
              <w:bottom w:w="70" w:type="dxa"/>
              <w:right w:w="90" w:type="dxa"/>
            </w:tcMar>
          </w:tcPr>
          <w:p w14:paraId="57BE5068" w14:textId="77777777" w:rsidR="00F233DC" w:rsidRDefault="00BB56D9">
            <w:pPr>
              <w:spacing w:after="20"/>
              <w:rPr>
                <w:rFonts w:hint="eastAsia"/>
              </w:rPr>
            </w:pPr>
            <w:r>
              <w:rPr>
                <w:sz w:val="17"/>
              </w:rPr>
              <w:t>Is the agent credible enough for team consideration? Why?</w:t>
            </w:r>
          </w:p>
        </w:tc>
        <w:tc>
          <w:tcPr>
            <w:tcW w:w="5227" w:type="dxa"/>
            <w:tcMar>
              <w:top w:w="70" w:type="dxa"/>
              <w:left w:w="90" w:type="dxa"/>
              <w:bottom w:w="70" w:type="dxa"/>
              <w:right w:w="90" w:type="dxa"/>
            </w:tcMar>
          </w:tcPr>
          <w:p>
            <w:pPr>
              <w:spacing w:after="80"/>
            </w:pPr>
            <w:r>
              <w:rPr>
                <w:sz w:val="20"/>
              </w:rPr>
              <w:t>Credible enough for bounded team review as a prototype: it preserves scope distinctions, identifies uncertainty and produces different timing advice under a controlled posture contrast. It is not validated for real-world adoption decisions or demonstrated reliable across cases.</w:t>
            </w:r>
          </w:p>
        </w:tc>
      </w:tr>
      <w:tr w:rsidR="00F233DC" w14:paraId="57BE506D" w14:textId="77777777">
        <w:trPr>
          <w:jc w:val="center"/>
          <w:cantSplit/>
        </w:trPr>
        <w:tc>
          <w:tcPr>
            <w:tcW w:w="5227" w:type="dxa"/>
            <w:tcMar>
              <w:top w:w="70" w:type="dxa"/>
              <w:left w:w="90" w:type="dxa"/>
              <w:bottom w:w="70" w:type="dxa"/>
              <w:right w:w="90" w:type="dxa"/>
            </w:tcMar>
          </w:tcPr>
          <w:p w14:paraId="57BE506B" w14:textId="77777777" w:rsidR="00F233DC" w:rsidRDefault="00BB56D9">
            <w:pPr>
              <w:spacing w:after="20"/>
              <w:rPr>
                <w:rFonts w:hint="eastAsia"/>
              </w:rPr>
            </w:pPr>
            <w:r>
              <w:rPr>
                <w:sz w:val="17"/>
              </w:rPr>
              <w:t>Most important recommendation to the team</w:t>
            </w:r>
          </w:p>
        </w:tc>
        <w:tc>
          <w:tcPr>
            <w:tcW w:w="5227" w:type="dxa"/>
            <w:tcMar>
              <w:top w:w="70" w:type="dxa"/>
              <w:left w:w="90" w:type="dxa"/>
              <w:bottom w:w="70" w:type="dxa"/>
              <w:right w:w="90" w:type="dxa"/>
            </w:tcMar>
          </w:tcPr>
          <w:p>
            <w:pPr>
              <w:spacing w:after="80"/>
            </w:pPr>
            <w:r>
              <w:rPr>
                <w:sz w:val="20"/>
              </w:rPr>
              <w:t>Keep diffusion evidence separate from organizational appetite. Use a safeguarded pilot to learn where posture permits; require credible application/peer outcomes before scaling. Replace synthetic evidence with current, representative sources before making consequential timing claims.</w:t>
            </w:r>
          </w:p>
        </w:tc>
      </w:tr>
      <w:tr w:rsidR="00F233DC" w14:paraId="57BE5070" w14:textId="77777777">
        <w:trPr>
          <w:jc w:val="center"/>
          <w:cantSplit/>
        </w:trPr>
        <w:tc>
          <w:tcPr>
            <w:tcW w:w="5227" w:type="dxa"/>
            <w:tcMar>
              <w:top w:w="70" w:type="dxa"/>
              <w:left w:w="90" w:type="dxa"/>
              <w:bottom w:w="70" w:type="dxa"/>
              <w:right w:w="90" w:type="dxa"/>
            </w:tcMar>
          </w:tcPr>
          <w:p w14:paraId="57BE506E" w14:textId="77777777" w:rsidR="00F233DC" w:rsidRDefault="00BB56D9">
            <w:pPr>
              <w:spacing w:after="20"/>
              <w:rPr>
                <w:rFonts w:hint="eastAsia"/>
              </w:rPr>
            </w:pPr>
            <w:r>
              <w:rPr>
                <w:sz w:val="17"/>
              </w:rPr>
              <w:t>AI / verification note</w:t>
            </w:r>
          </w:p>
        </w:tc>
        <w:tc>
          <w:tcPr>
            <w:tcW w:w="5227" w:type="dxa"/>
            <w:tcMar>
              <w:top w:w="70" w:type="dxa"/>
              <w:left w:w="90" w:type="dxa"/>
              <w:bottom w:w="70" w:type="dxa"/>
              <w:right w:w="90" w:type="dxa"/>
            </w:tcMar>
          </w:tcPr>
          <w:p>
            <w:pPr>
              <w:spacing w:after="80"/>
            </w:pPr>
            <w:r>
              <w:rPr>
                <w:sz w:val="20"/>
              </w:rPr>
              <w:t>ChatGPT/Codex drafted the specialist instructions, constructed synthetic cases, produced and reviewed both responses, and assembled this record. Technical checks covered frozen hashes, prompt assembly, schema validity and contrast invariants. The same assistant authored and evaluated outputs; no independent evaluator or external research verified real-world claims. This record was checked against repository artifacts at e6be84c; student/team review remains necessary.</w:t>
            </w:r>
          </w:p>
        </w:tc>
      </w:tr>
    </w:tbl>
    <w:p w14:paraId="57BE5071" w14:textId="77777777" w:rsidR="00BB56D9" w:rsidRDefault="00BB56D9"/>
    <w:sectPr w:rsidR="00BB56D9"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A673B" w14:textId="77777777" w:rsidR="00BB56D9" w:rsidRDefault="00BB56D9">
      <w:pPr>
        <w:spacing w:after="0" w:line="240" w:lineRule="auto"/>
        <w:rPr>
          <w:rFonts w:hint="eastAsia"/>
        </w:rPr>
      </w:pPr>
      <w:r>
        <w:separator/>
      </w:r>
    </w:p>
  </w:endnote>
  <w:endnote w:type="continuationSeparator" w:id="0">
    <w:p w14:paraId="36256975" w14:textId="77777777" w:rsidR="00BB56D9" w:rsidRDefault="00BB56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5076" w14:textId="77777777" w:rsidR="00630F3A" w:rsidRDefault="00BB56D9">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B34C5" w14:textId="77777777" w:rsidR="00BB56D9" w:rsidRDefault="00BB56D9">
      <w:pPr>
        <w:spacing w:after="0" w:line="240" w:lineRule="auto"/>
        <w:rPr>
          <w:rFonts w:hint="eastAsia"/>
        </w:rPr>
      </w:pPr>
      <w:r>
        <w:separator/>
      </w:r>
    </w:p>
  </w:footnote>
  <w:footnote w:type="continuationSeparator" w:id="0">
    <w:p w14:paraId="3F0A6955" w14:textId="77777777" w:rsidR="00BB56D9" w:rsidRDefault="00BB56D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5075" w14:textId="77777777" w:rsidR="00630F3A" w:rsidRDefault="00BB56D9">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381F1E"/>
    <w:rsid w:val="00590386"/>
    <w:rsid w:val="00630F3A"/>
    <w:rsid w:val="006E721C"/>
    <w:rsid w:val="00AA1D8D"/>
    <w:rsid w:val="00B47730"/>
    <w:rsid w:val="00BB56D9"/>
    <w:rsid w:val="00CB0664"/>
    <w:rsid w:val="00F233DC"/>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E4FFE"/>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Zhu, Jie</cp:lastModifiedBy>
  <cp:revision>3</cp:revision>
  <dcterms:created xsi:type="dcterms:W3CDTF">2026-08-13T19:48:00Z</dcterms:created>
  <dcterms:modified xsi:type="dcterms:W3CDTF">2026-10-26T02:40:00Z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2026-10-26T02:40:02Z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09e0d70a-aee2-492a-82c2-04dd4c290d1a</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