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EBD4" w14:textId="77777777" w:rsidR="001C3AC4" w:rsidRDefault="00B04238">
      <w:pPr>
        <w:jc w:val="center"/>
        <w:rPr>
          <w:rFonts w:hint="eastAsia"/>
        </w:rPr>
      </w:pPr>
      <w:r>
        <w:rPr>
          <w:b/>
          <w:color w:val="57068C"/>
          <w:sz w:val="28"/>
        </w:rPr>
        <w:t>EMERGING TECHNOLOGIES</w:t>
      </w:r>
    </w:p>
    <w:p w14:paraId="04B0EBD5" w14:textId="77777777" w:rsidR="001C3AC4" w:rsidRDefault="00B04238">
      <w:pPr>
        <w:pStyle w:val="Title"/>
        <w:jc w:val="center"/>
      </w:pPr>
      <w:r>
        <w:t>Specialist Agent Record — Assignment 4: Promethean Technology Classification</w:t>
      </w:r>
    </w:p>
    <w:p w14:paraId="04B0EBD6" w14:textId="77777777" w:rsidR="001C3AC4" w:rsidRDefault="00B04238">
      <w:pPr>
        <w:jc w:val="center"/>
        <w:rPr>
          <w:rFonts w:hint="eastAsia"/>
        </w:rPr>
      </w:pPr>
      <w:r>
        <w:t>MASY1-GC 1800 | Assignments 2-8</w:t>
      </w:r>
    </w:p>
    <w:tbl>
      <w:tblPr>
        <w:tblW w:w="0" w:type="auto"/>
        <w:tblLook w:val="04A0" w:firstRow="1" w:lastRow="0" w:firstColumn="1" w:lastColumn="0" w:noHBand="0" w:noVBand="1"/>
      </w:tblPr>
      <w:tblGrid>
        <w:gridCol w:w="10454"/>
      </w:tblGrid>
      <w:tr w:rsidR="001C3AC4" w14:paraId="04B0EBD8" w14:textId="77777777">
        <w:tc>
          <w:tcPr>
            <w:tcW w:w="10454" w:type="dxa"/>
            <w:shd w:val="clear" w:color="auto" w:fill="F3EDF7"/>
            <w:tcMar>
              <w:top w:w="90" w:type="dxa"/>
              <w:left w:w="120" w:type="dxa"/>
              <w:bottom w:w="90" w:type="dxa"/>
              <w:right w:w="120" w:type="dxa"/>
            </w:tcMar>
          </w:tcPr>
          <w:p w14:paraId="04B0EBD7" w14:textId="77777777" w:rsidR="001C3AC4" w:rsidRDefault="00B04238">
            <w:pPr>
              <w:pStyle w:val="Callout"/>
              <w:rPr>
                <w:rFonts w:hint="eastAsia"/>
              </w:rPr>
            </w:pPr>
            <w:r>
              <w:t>Complete this record from the evidence in your working scaffold. Keep it concise. The record documents what you specialized, how you tested it, what failed or changed, and what professional judgment you reached.</w:t>
            </w:r>
          </w:p>
        </w:tc>
      </w:tr>
    </w:tbl>
    <w:p w14:paraId="04B0EBD9" w14:textId="77777777" w:rsidR="001C3AC4" w:rsidRDefault="00B04238">
      <w:pPr>
        <w:pStyle w:val="Heading1"/>
      </w:pPr>
      <w:r>
        <w:t>A. Agent and Version</w:t>
      </w:r>
    </w:p>
    <w:tbl>
      <w:tblPr>
        <w:tblStyle w:val="TableGrid"/>
        <w:tblW w:w="0" w:type="auto"/>
        <w:jc w:val="center"/>
        <w:tblLook w:val="04A0" w:firstRow="1" w:lastRow="0" w:firstColumn="1" w:lastColumn="0" w:noHBand="0" w:noVBand="1"/>
      </w:tblPr>
      <w:tblGrid>
        <w:gridCol w:w="5220"/>
        <w:gridCol w:w="5224"/>
      </w:tblGrid>
      <w:tr w:rsidR="001C3AC4" w14:paraId="04B0EBDC" w14:textId="77777777">
        <w:trPr>
          <w:jc w:val="center"/>
        </w:trPr>
        <w:tc>
          <w:tcPr>
            <w:tcW w:w="5227" w:type="dxa"/>
            <w:shd w:val="clear" w:color="auto" w:fill="57068C"/>
            <w:tcMar>
              <w:top w:w="70" w:type="dxa"/>
              <w:left w:w="90" w:type="dxa"/>
              <w:bottom w:w="70" w:type="dxa"/>
              <w:right w:w="90" w:type="dxa"/>
            </w:tcMar>
          </w:tcPr>
          <w:p w14:paraId="04B0EBDA" w14:textId="77777777" w:rsidR="001C3AC4" w:rsidRDefault="00B04238">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04B0EBDB" w14:textId="77777777" w:rsidR="001C3AC4" w:rsidRDefault="00B04238">
            <w:pPr>
              <w:spacing w:after="20"/>
              <w:rPr>
                <w:rFonts w:hint="eastAsia"/>
              </w:rPr>
            </w:pPr>
            <w:r>
              <w:rPr>
                <w:b/>
                <w:color w:val="FFFFFF"/>
                <w:sz w:val="17"/>
              </w:rPr>
              <w:t>Student record</w:t>
            </w:r>
          </w:p>
        </w:tc>
      </w:tr>
      <w:tr w:rsidR="001C3AC4" w14:paraId="04B0EBDF" w14:textId="77777777">
        <w:trPr>
          <w:jc w:val="center"/>
        </w:trPr>
        <w:tc>
          <w:tcPr>
            <w:tcW w:w="5227" w:type="dxa"/>
            <w:tcMar>
              <w:top w:w="70" w:type="dxa"/>
              <w:left w:w="90" w:type="dxa"/>
              <w:bottom w:w="70" w:type="dxa"/>
              <w:right w:w="90" w:type="dxa"/>
            </w:tcMar>
          </w:tcPr>
          <w:p w14:paraId="04B0EBDD" w14:textId="77777777" w:rsidR="001C3AC4" w:rsidRDefault="00B04238">
            <w:pPr>
              <w:spacing w:after="20"/>
              <w:rPr>
                <w:rFonts w:hint="eastAsia"/>
              </w:rPr>
            </w:pPr>
            <w:r>
              <w:rPr>
                <w:sz w:val="17"/>
              </w:rPr>
              <w:t>Student / team</w:t>
            </w:r>
          </w:p>
        </w:tc>
        <w:tc>
          <w:tcPr>
            <w:tcW w:w="5227" w:type="dxa"/>
            <w:tcMar>
              <w:top w:w="70" w:type="dxa"/>
              <w:left w:w="90" w:type="dxa"/>
              <w:bottom w:w="70" w:type="dxa"/>
              <w:right w:w="90" w:type="dxa"/>
            </w:tcMar>
          </w:tcPr>
          <w:p>
            <w:pPr>
              <w:spacing w:after="60"/>
            </w:pPr>
            <w:r>
              <w:rPr>
                <w:sz w:val="20"/>
              </w:rPr>
              <w:t>Not provided — add student/team name before submission.</w:t>
            </w:r>
          </w:p>
        </w:tc>
      </w:tr>
      <w:tr w:rsidR="001C3AC4" w14:paraId="04B0EBE2" w14:textId="77777777">
        <w:trPr>
          <w:jc w:val="center"/>
        </w:trPr>
        <w:tc>
          <w:tcPr>
            <w:tcW w:w="5227" w:type="dxa"/>
            <w:tcMar>
              <w:top w:w="70" w:type="dxa"/>
              <w:left w:w="90" w:type="dxa"/>
              <w:bottom w:w="70" w:type="dxa"/>
              <w:right w:w="90" w:type="dxa"/>
            </w:tcMar>
          </w:tcPr>
          <w:p w14:paraId="04B0EBE0" w14:textId="77777777" w:rsidR="001C3AC4" w:rsidRDefault="00B04238">
            <w:pPr>
              <w:spacing w:after="20"/>
              <w:rPr>
                <w:rFonts w:hint="eastAsia"/>
              </w:rPr>
            </w:pPr>
            <w:r>
              <w:rPr>
                <w:sz w:val="17"/>
              </w:rPr>
              <w:t>Assignment / specialist agent</w:t>
            </w:r>
          </w:p>
        </w:tc>
        <w:tc>
          <w:tcPr>
            <w:tcW w:w="5227" w:type="dxa"/>
            <w:tcMar>
              <w:top w:w="70" w:type="dxa"/>
              <w:left w:w="90" w:type="dxa"/>
              <w:bottom w:w="70" w:type="dxa"/>
              <w:right w:w="90" w:type="dxa"/>
            </w:tcMar>
          </w:tcPr>
          <w:p>
            <w:pPr>
              <w:spacing w:after="60"/>
            </w:pPr>
            <w:r>
              <w:rPr>
                <w:sz w:val="20"/>
              </w:rPr>
              <w:t>Assignment 4 — Promethean Technology Classification Agent, v0.3-student.</w:t>
            </w:r>
          </w:p>
        </w:tc>
      </w:tr>
      <w:tr w:rsidR="001C3AC4" w14:paraId="04B0EBE5" w14:textId="77777777">
        <w:trPr>
          <w:jc w:val="center"/>
        </w:trPr>
        <w:tc>
          <w:tcPr>
            <w:tcW w:w="5227" w:type="dxa"/>
            <w:tcMar>
              <w:top w:w="70" w:type="dxa"/>
              <w:left w:w="90" w:type="dxa"/>
              <w:bottom w:w="70" w:type="dxa"/>
              <w:right w:w="90" w:type="dxa"/>
            </w:tcMar>
          </w:tcPr>
          <w:p w14:paraId="04B0EBE3" w14:textId="77777777" w:rsidR="001C3AC4" w:rsidRDefault="00B04238">
            <w:pPr>
              <w:spacing w:after="20"/>
              <w:rPr>
                <w:rFonts w:hint="eastAsia"/>
              </w:rPr>
            </w:pPr>
            <w:r>
              <w:rPr>
                <w:sz w:val="17"/>
              </w:rPr>
              <w:t>Date</w:t>
            </w:r>
          </w:p>
        </w:tc>
        <w:tc>
          <w:tcPr>
            <w:tcW w:w="5227" w:type="dxa"/>
            <w:tcMar>
              <w:top w:w="70" w:type="dxa"/>
              <w:left w:w="90" w:type="dxa"/>
              <w:bottom w:w="70" w:type="dxa"/>
              <w:right w:w="90" w:type="dxa"/>
            </w:tcMar>
          </w:tcPr>
          <w:p>
            <w:pPr>
              <w:spacing w:after="60"/>
            </w:pPr>
            <w:r>
              <w:rPr>
                <w:sz w:val="20"/>
              </w:rPr>
              <w:t>October 18, 2026 (America/New_York)</w:t>
            </w:r>
          </w:p>
        </w:tc>
      </w:tr>
      <w:tr w:rsidR="001C3AC4" w14:paraId="04B0EBE8" w14:textId="77777777">
        <w:trPr>
          <w:jc w:val="center"/>
        </w:trPr>
        <w:tc>
          <w:tcPr>
            <w:tcW w:w="5227" w:type="dxa"/>
            <w:tcMar>
              <w:top w:w="70" w:type="dxa"/>
              <w:left w:w="90" w:type="dxa"/>
              <w:bottom w:w="70" w:type="dxa"/>
              <w:right w:w="90" w:type="dxa"/>
            </w:tcMar>
          </w:tcPr>
          <w:p w14:paraId="04B0EBE6" w14:textId="77777777" w:rsidR="001C3AC4" w:rsidRDefault="00B04238">
            <w:pPr>
              <w:spacing w:after="20"/>
              <w:rPr>
                <w:rFonts w:hint="eastAsia"/>
              </w:rPr>
            </w:pPr>
            <w:r>
              <w:rPr>
                <w:sz w:val="17"/>
              </w:rPr>
              <w:t>GitHub repository</w:t>
            </w:r>
          </w:p>
        </w:tc>
        <w:tc>
          <w:tcPr>
            <w:tcW w:w="5227" w:type="dxa"/>
            <w:tcMar>
              <w:top w:w="70" w:type="dxa"/>
              <w:left w:w="90" w:type="dxa"/>
              <w:bottom w:w="70" w:type="dxa"/>
              <w:right w:w="90" w:type="dxa"/>
            </w:tcMar>
          </w:tcPr>
          <w:p>
            <w:pPr>
              <w:spacing w:after="60"/>
            </w:pPr>
            <w:r>
              <w:rPr>
                <w:sz w:val="20"/>
              </w:rPr>
              <w:t>https://github.com/chictofu/JZ-MASY1800-Emerging-Technologies-Agents</w:t>
            </w:r>
          </w:p>
        </w:tc>
      </w:tr>
      <w:tr w:rsidR="001C3AC4" w14:paraId="04B0EBEB" w14:textId="77777777">
        <w:trPr>
          <w:jc w:val="center"/>
        </w:trPr>
        <w:tc>
          <w:tcPr>
            <w:tcW w:w="5227" w:type="dxa"/>
            <w:tcMar>
              <w:top w:w="70" w:type="dxa"/>
              <w:left w:w="90" w:type="dxa"/>
              <w:bottom w:w="70" w:type="dxa"/>
              <w:right w:w="90" w:type="dxa"/>
            </w:tcMar>
          </w:tcPr>
          <w:p w14:paraId="04B0EBE9" w14:textId="77777777" w:rsidR="001C3AC4" w:rsidRDefault="00B04238">
            <w:pPr>
              <w:spacing w:after="20"/>
              <w:rPr>
                <w:rFonts w:hint="eastAsia"/>
              </w:rPr>
            </w:pPr>
            <w:r>
              <w:rPr>
                <w:sz w:val="17"/>
              </w:rPr>
              <w:t>Branch</w:t>
            </w:r>
          </w:p>
        </w:tc>
        <w:tc>
          <w:tcPr>
            <w:tcW w:w="5227" w:type="dxa"/>
            <w:tcMar>
              <w:top w:w="70" w:type="dxa"/>
              <w:left w:w="90" w:type="dxa"/>
              <w:bottom w:w="70" w:type="dxa"/>
              <w:right w:w="90" w:type="dxa"/>
            </w:tcMar>
          </w:tcPr>
          <w:p>
            <w:pPr>
              <w:spacing w:after="60"/>
            </w:pPr>
            <w:r>
              <w:rPr>
                <w:sz w:val="20"/>
              </w:rPr>
              <w:t>assignment-4-promethean-technology-classification</w:t>
            </w:r>
          </w:p>
        </w:tc>
      </w:tr>
      <w:tr w:rsidR="001C3AC4" w14:paraId="04B0EBEE" w14:textId="77777777">
        <w:trPr>
          <w:jc w:val="center"/>
        </w:trPr>
        <w:tc>
          <w:tcPr>
            <w:tcW w:w="5227" w:type="dxa"/>
            <w:tcMar>
              <w:top w:w="70" w:type="dxa"/>
              <w:left w:w="90" w:type="dxa"/>
              <w:bottom w:w="70" w:type="dxa"/>
              <w:right w:w="90" w:type="dxa"/>
            </w:tcMar>
          </w:tcPr>
          <w:p w14:paraId="04B0EBEC" w14:textId="77777777" w:rsidR="001C3AC4" w:rsidRDefault="00B04238">
            <w:pPr>
              <w:spacing w:after="20"/>
              <w:rPr>
                <w:rFonts w:hint="eastAsia"/>
              </w:rPr>
            </w:pPr>
            <w:r>
              <w:rPr>
                <w:sz w:val="17"/>
              </w:rPr>
              <w:t>Commit</w:t>
            </w:r>
          </w:p>
        </w:tc>
        <w:tc>
          <w:tcPr>
            <w:tcW w:w="5227" w:type="dxa"/>
            <w:tcMar>
              <w:top w:w="70" w:type="dxa"/>
              <w:left w:w="90" w:type="dxa"/>
              <w:bottom w:w="70" w:type="dxa"/>
              <w:right w:w="90" w:type="dxa"/>
            </w:tcMar>
          </w:tcPr>
          <w:p>
            <w:pPr>
              <w:spacing w:after="60"/>
            </w:pPr>
            <w:r>
              <w:rPr>
                <w:sz w:val="20"/>
              </w:rPr>
              <w:t>e9e67d09855528e2b68a1329627ccaa78ad4cecc (agent implementation evaluated; this completed record is added in a subsequent commit).</w:t>
            </w:r>
          </w:p>
        </w:tc>
      </w:tr>
      <w:tr w:rsidR="001C3AC4" w14:paraId="04B0EBF1" w14:textId="77777777">
        <w:trPr>
          <w:jc w:val="center"/>
        </w:trPr>
        <w:tc>
          <w:tcPr>
            <w:tcW w:w="5227" w:type="dxa"/>
            <w:tcMar>
              <w:top w:w="70" w:type="dxa"/>
              <w:left w:w="90" w:type="dxa"/>
              <w:bottom w:w="70" w:type="dxa"/>
              <w:right w:w="90" w:type="dxa"/>
            </w:tcMar>
          </w:tcPr>
          <w:p w14:paraId="04B0EBEF" w14:textId="77777777" w:rsidR="001C3AC4" w:rsidRDefault="00B04238">
            <w:pPr>
              <w:spacing w:after="20"/>
              <w:rPr>
                <w:rFonts w:hint="eastAsia"/>
              </w:rPr>
            </w:pPr>
            <w:r>
              <w:rPr>
                <w:sz w:val="17"/>
              </w:rPr>
              <w:t>Frozen scaffold version</w:t>
            </w:r>
          </w:p>
        </w:tc>
        <w:tc>
          <w:tcPr>
            <w:tcW w:w="5227" w:type="dxa"/>
            <w:tcMar>
              <w:top w:w="70" w:type="dxa"/>
              <w:left w:w="90" w:type="dxa"/>
              <w:bottom w:w="70" w:type="dxa"/>
              <w:right w:w="90" w:type="dxa"/>
            </w:tcMar>
          </w:tcPr>
          <w:p>
            <w:pPr>
              <w:spacing w:after="60"/>
            </w:pPr>
            <w:r>
              <w:rPr>
                <w:sz w:val="20"/>
              </w:rPr>
              <w:t>MASY1800_ET_Agent_Scaffold_v1_0. Common instructions, both schemas, tools and baseline files preserved; all manifest checks passed.</w:t>
            </w:r>
          </w:p>
        </w:tc>
      </w:tr>
    </w:tbl>
    <w:p w14:paraId="04B0EBF2" w14:textId="77777777" w:rsidR="001C3AC4" w:rsidRDefault="00B04238">
      <w:pPr>
        <w:pStyle w:val="Heading1"/>
      </w:pPr>
      <w:r>
        <w:t>B. Specialist Purpose and Context</w:t>
      </w:r>
    </w:p>
    <w:tbl>
      <w:tblPr>
        <w:tblStyle w:val="TableGrid"/>
        <w:tblW w:w="0" w:type="auto"/>
        <w:jc w:val="center"/>
        <w:tblLook w:val="04A0" w:firstRow="1" w:lastRow="0" w:firstColumn="1" w:lastColumn="0" w:noHBand="0" w:noVBand="1"/>
      </w:tblPr>
      <w:tblGrid>
        <w:gridCol w:w="5222"/>
        <w:gridCol w:w="5222"/>
      </w:tblGrid>
      <w:tr w:rsidR="001C3AC4" w14:paraId="04B0EBF5" w14:textId="77777777">
        <w:trPr>
          <w:jc w:val="center"/>
        </w:trPr>
        <w:tc>
          <w:tcPr>
            <w:tcW w:w="5227" w:type="dxa"/>
            <w:shd w:val="clear" w:color="auto" w:fill="57068C"/>
            <w:tcMar>
              <w:top w:w="70" w:type="dxa"/>
              <w:left w:w="90" w:type="dxa"/>
              <w:bottom w:w="70" w:type="dxa"/>
              <w:right w:w="90" w:type="dxa"/>
            </w:tcMar>
          </w:tcPr>
          <w:p w14:paraId="04B0EBF3" w14:textId="77777777" w:rsidR="001C3AC4" w:rsidRDefault="00B04238">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04B0EBF4" w14:textId="77777777" w:rsidR="001C3AC4" w:rsidRDefault="00B04238">
            <w:pPr>
              <w:spacing w:after="20"/>
              <w:rPr>
                <w:rFonts w:hint="eastAsia"/>
              </w:rPr>
            </w:pPr>
            <w:r>
              <w:rPr>
                <w:b/>
                <w:color w:val="FFFFFF"/>
                <w:sz w:val="17"/>
              </w:rPr>
              <w:t>Student record</w:t>
            </w:r>
          </w:p>
        </w:tc>
      </w:tr>
      <w:tr w:rsidR="001C3AC4" w14:paraId="04B0EBF8" w14:textId="77777777">
        <w:trPr>
          <w:jc w:val="center"/>
        </w:trPr>
        <w:tc>
          <w:tcPr>
            <w:tcW w:w="5227" w:type="dxa"/>
            <w:tcMar>
              <w:top w:w="70" w:type="dxa"/>
              <w:left w:w="90" w:type="dxa"/>
              <w:bottom w:w="70" w:type="dxa"/>
              <w:right w:w="90" w:type="dxa"/>
            </w:tcMar>
          </w:tcPr>
          <w:p w14:paraId="04B0EBF6" w14:textId="77777777" w:rsidR="001C3AC4" w:rsidRDefault="00B04238">
            <w:pPr>
              <w:spacing w:after="20"/>
              <w:rPr>
                <w:rFonts w:hint="eastAsia"/>
              </w:rPr>
            </w:pPr>
            <w:r>
              <w:rPr>
                <w:sz w:val="17"/>
              </w:rPr>
              <w:t>Governing analytical question</w:t>
            </w:r>
          </w:p>
        </w:tc>
        <w:tc>
          <w:tcPr>
            <w:tcW w:w="5227" w:type="dxa"/>
            <w:tcMar>
              <w:top w:w="70" w:type="dxa"/>
              <w:left w:w="90" w:type="dxa"/>
              <w:bottom w:w="70" w:type="dxa"/>
              <w:right w:w="90" w:type="dxa"/>
            </w:tcMar>
          </w:tcPr>
          <w:p>
            <w:pPr>
              <w:spacing w:after="60"/>
            </w:pPr>
            <w:r>
              <w:rPr>
                <w:sz w:val="20"/>
              </w:rPr>
              <w:t>Is this technology incremental, breakthrough, or potentially civilization-changing, and how much should that broader potential influence this organization’s present application decision?</w:t>
            </w:r>
          </w:p>
        </w:tc>
      </w:tr>
      <w:tr w:rsidR="001C3AC4" w14:paraId="04B0EBFB" w14:textId="77777777">
        <w:trPr>
          <w:jc w:val="center"/>
        </w:trPr>
        <w:tc>
          <w:tcPr>
            <w:tcW w:w="5227" w:type="dxa"/>
            <w:tcMar>
              <w:top w:w="70" w:type="dxa"/>
              <w:left w:w="90" w:type="dxa"/>
              <w:bottom w:w="70" w:type="dxa"/>
              <w:right w:w="90" w:type="dxa"/>
            </w:tcMar>
          </w:tcPr>
          <w:p w14:paraId="04B0EBF9" w14:textId="77777777" w:rsidR="001C3AC4" w:rsidRDefault="00B04238">
            <w:pPr>
              <w:spacing w:after="20"/>
              <w:rPr>
                <w:rFonts w:hint="eastAsia"/>
              </w:rPr>
            </w:pPr>
            <w:r>
              <w:rPr>
                <w:sz w:val="17"/>
              </w:rPr>
              <w:t>Emerging technology</w:t>
            </w:r>
          </w:p>
        </w:tc>
        <w:tc>
          <w:tcPr>
            <w:tcW w:w="5227" w:type="dxa"/>
            <w:tcMar>
              <w:top w:w="70" w:type="dxa"/>
              <w:left w:w="90" w:type="dxa"/>
              <w:bottom w:w="70" w:type="dxa"/>
              <w:right w:w="90" w:type="dxa"/>
            </w:tcMar>
          </w:tcPr>
          <w:p>
            <w:pPr>
              <w:spacing w:after="60"/>
            </w:pPr>
            <w:r>
              <w:rPr>
                <w:sz w:val="20"/>
              </w:rPr>
              <w:t>Primary: hypothetical AI/ML D1 deal scoring/ranking, scoped narrowly rather than to AI generally. Separate boundary case: fictional general-purpose platform G2 with stipulated cross-domain capability demonstrations.</w:t>
            </w:r>
          </w:p>
        </w:tc>
      </w:tr>
      <w:tr w:rsidR="001C3AC4" w14:paraId="04B0EBFE" w14:textId="77777777">
        <w:trPr>
          <w:jc w:val="center"/>
        </w:trPr>
        <w:tc>
          <w:tcPr>
            <w:tcW w:w="5227" w:type="dxa"/>
            <w:tcMar>
              <w:top w:w="70" w:type="dxa"/>
              <w:left w:w="90" w:type="dxa"/>
              <w:bottom w:w="70" w:type="dxa"/>
              <w:right w:w="90" w:type="dxa"/>
            </w:tcMar>
          </w:tcPr>
          <w:p w14:paraId="04B0EBFC" w14:textId="77777777" w:rsidR="001C3AC4" w:rsidRDefault="00B04238">
            <w:pPr>
              <w:spacing w:after="20"/>
              <w:rPr>
                <w:rFonts w:hint="eastAsia"/>
              </w:rPr>
            </w:pPr>
            <w:r>
              <w:rPr>
                <w:sz w:val="17"/>
              </w:rPr>
              <w:t>Intended application</w:t>
            </w:r>
          </w:p>
        </w:tc>
        <w:tc>
          <w:tcPr>
            <w:tcW w:w="5227" w:type="dxa"/>
            <w:tcMar>
              <w:top w:w="70" w:type="dxa"/>
              <w:left w:w="90" w:type="dxa"/>
              <w:bottom w:w="70" w:type="dxa"/>
              <w:right w:w="90" w:type="dxa"/>
            </w:tcMar>
          </w:tcPr>
          <w:p>
            <w:pPr>
              <w:spacing w:after="60"/>
            </w:pPr>
            <w:r>
              <w:rPr>
                <w:sz w:val="20"/>
              </w:rPr>
              <w:t>Primary: proposed human-approved recommendations for programmatic advertising deals, compared with manual/fixed-rule selection. G2 boundary case: proposed internal campaign planning.</w:t>
            </w:r>
          </w:p>
        </w:tc>
      </w:tr>
      <w:tr w:rsidR="001C3AC4" w14:paraId="04B0EC01" w14:textId="77777777">
        <w:trPr>
          <w:jc w:val="center"/>
        </w:trPr>
        <w:tc>
          <w:tcPr>
            <w:tcW w:w="5227" w:type="dxa"/>
            <w:tcMar>
              <w:top w:w="70" w:type="dxa"/>
              <w:left w:w="90" w:type="dxa"/>
              <w:bottom w:w="70" w:type="dxa"/>
              <w:right w:w="90" w:type="dxa"/>
            </w:tcMar>
          </w:tcPr>
          <w:p w14:paraId="04B0EBFF" w14:textId="77777777" w:rsidR="001C3AC4" w:rsidRDefault="00B04238">
            <w:pPr>
              <w:spacing w:after="20"/>
              <w:rPr>
                <w:rFonts w:hint="eastAsia"/>
              </w:rPr>
            </w:pPr>
            <w:r>
              <w:rPr>
                <w:sz w:val="17"/>
              </w:rPr>
              <w:t>Organization / industry</w:t>
            </w:r>
          </w:p>
        </w:tc>
        <w:tc>
          <w:tcPr>
            <w:tcW w:w="5227" w:type="dxa"/>
            <w:tcMar>
              <w:top w:w="70" w:type="dxa"/>
              <w:left w:w="90" w:type="dxa"/>
              <w:bottom w:w="70" w:type="dxa"/>
              <w:right w:w="90" w:type="dxa"/>
            </w:tcMar>
          </w:tcPr>
          <w:p>
            <w:pPr>
              <w:spacing w:after="60"/>
            </w:pPr>
            <w:r>
              <w:rPr>
                <w:sz w:val="20"/>
              </w:rPr>
              <w:t>Fictional Northstar Media Agency, programmatic advertising. A readiness contrast uses a small agency without reliable data pipelines or evaluation expertise. Details are synthetic assumptions.</w:t>
            </w:r>
          </w:p>
        </w:tc>
      </w:tr>
      <w:tr w:rsidR="001C3AC4" w14:paraId="04B0EC04" w14:textId="77777777">
        <w:trPr>
          <w:jc w:val="center"/>
        </w:trPr>
        <w:tc>
          <w:tcPr>
            <w:tcW w:w="5227" w:type="dxa"/>
            <w:tcMar>
              <w:top w:w="70" w:type="dxa"/>
              <w:left w:w="90" w:type="dxa"/>
              <w:bottom w:w="70" w:type="dxa"/>
              <w:right w:w="90" w:type="dxa"/>
            </w:tcMar>
          </w:tcPr>
          <w:p w14:paraId="04B0EC02" w14:textId="77777777" w:rsidR="001C3AC4" w:rsidRDefault="00B04238">
            <w:pPr>
              <w:spacing w:after="20"/>
              <w:rPr>
                <w:rFonts w:hint="eastAsia"/>
              </w:rPr>
            </w:pPr>
            <w:r>
              <w:rPr>
                <w:sz w:val="17"/>
              </w:rPr>
              <w:t>Adoption posture</w:t>
            </w:r>
          </w:p>
        </w:tc>
        <w:tc>
          <w:tcPr>
            <w:tcW w:w="5227" w:type="dxa"/>
            <w:tcMar>
              <w:top w:w="70" w:type="dxa"/>
              <w:left w:w="90" w:type="dxa"/>
              <w:bottom w:w="70" w:type="dxa"/>
              <w:right w:w="90" w:type="dxa"/>
            </w:tcMar>
          </w:tcPr>
          <w:p>
            <w:pPr>
              <w:spacing w:after="60"/>
            </w:pPr>
            <w:r>
              <w:rPr>
                <w:sz w:val="20"/>
              </w:rPr>
              <w:t>Primary: cautious, reversible offline/human-approved pilot. Contrast 1 changes only to aggressive rollout ambition; contrast 2 changes organization/readiness while retaining cautious posture.</w:t>
            </w:r>
          </w:p>
        </w:tc>
      </w:tr>
      <w:tr w:rsidR="001C3AC4" w14:paraId="04B0EC07" w14:textId="77777777">
        <w:trPr>
          <w:jc w:val="center"/>
        </w:trPr>
        <w:tc>
          <w:tcPr>
            <w:tcW w:w="5227" w:type="dxa"/>
            <w:tcMar>
              <w:top w:w="70" w:type="dxa"/>
              <w:left w:w="90" w:type="dxa"/>
              <w:bottom w:w="70" w:type="dxa"/>
              <w:right w:w="90" w:type="dxa"/>
            </w:tcMar>
          </w:tcPr>
          <w:p w14:paraId="04B0EC05" w14:textId="77777777" w:rsidR="001C3AC4" w:rsidRDefault="00B04238">
            <w:pPr>
              <w:spacing w:after="20"/>
              <w:rPr>
                <w:rFonts w:hint="eastAsia"/>
              </w:rPr>
            </w:pPr>
            <w:r>
              <w:rPr>
                <w:sz w:val="17"/>
              </w:rPr>
              <w:t>Risk / consequence context</w:t>
            </w:r>
          </w:p>
        </w:tc>
        <w:tc>
          <w:tcPr>
            <w:tcW w:w="5227" w:type="dxa"/>
            <w:tcMar>
              <w:top w:w="70" w:type="dxa"/>
              <w:left w:w="90" w:type="dxa"/>
              <w:bottom w:w="70" w:type="dxa"/>
              <w:right w:w="90" w:type="dxa"/>
            </w:tcMar>
          </w:tcPr>
          <w:p>
            <w:pPr>
              <w:spacing w:after="60"/>
            </w:pPr>
            <w:r>
              <w:rPr>
                <w:sz w:val="20"/>
              </w:rPr>
              <w:t>Advertising spend, recommendation quality, data rights, brand suitability, reputation and implementation cost. Additional analytical risks: hype-driven overclassification, scope inflation and automatic adoption advocacy.</w:t>
            </w:r>
          </w:p>
        </w:tc>
      </w:tr>
      <w:tr w:rsidR="001C3AC4" w14:paraId="04B0EC0A" w14:textId="77777777">
        <w:trPr>
          <w:jc w:val="center"/>
        </w:trPr>
        <w:tc>
          <w:tcPr>
            <w:tcW w:w="5227" w:type="dxa"/>
            <w:tcMar>
              <w:top w:w="70" w:type="dxa"/>
              <w:left w:w="90" w:type="dxa"/>
              <w:bottom w:w="70" w:type="dxa"/>
              <w:right w:w="90" w:type="dxa"/>
            </w:tcMar>
          </w:tcPr>
          <w:p w14:paraId="04B0EC08" w14:textId="77777777" w:rsidR="001C3AC4" w:rsidRDefault="00B04238">
            <w:pPr>
              <w:spacing w:after="20"/>
              <w:rPr>
                <w:rFonts w:hint="eastAsia"/>
              </w:rPr>
            </w:pPr>
            <w:r>
              <w:rPr>
                <w:sz w:val="17"/>
              </w:rPr>
              <w:t>Management question / time horizon</w:t>
            </w:r>
          </w:p>
        </w:tc>
        <w:tc>
          <w:tcPr>
            <w:tcW w:w="5227" w:type="dxa"/>
            <w:tcMar>
              <w:top w:w="70" w:type="dxa"/>
              <w:left w:w="90" w:type="dxa"/>
              <w:bottom w:w="70" w:type="dxa"/>
              <w:right w:w="90" w:type="dxa"/>
            </w:tcMar>
          </w:tcPr>
          <w:p>
            <w:pPr>
              <w:spacing w:after="60"/>
            </w:pPr>
            <w:r>
              <w:rPr>
                <w:sz w:val="20"/>
              </w:rPr>
              <w:t>Determine broad significance separately from application value and local suitability. Local horizon: 12 months; societal significance: uncertain longer-term horizon, not a dated forecast.</w:t>
            </w:r>
          </w:p>
        </w:tc>
      </w:tr>
    </w:tbl>
    <w:p w14:paraId="04B0EC0B" w14:textId="77777777" w:rsidR="001C3AC4" w:rsidRDefault="00B04238">
      <w:pPr>
        <w:pStyle w:val="Heading1"/>
      </w:pPr>
      <w:r>
        <w:t>C. Three-Level Finding</w:t>
      </w:r>
    </w:p>
    <w:tbl>
      <w:tblPr>
        <w:tblStyle w:val="TableGrid"/>
        <w:tblW w:w="0" w:type="auto"/>
        <w:jc w:val="center"/>
        <w:tblLook w:val="04A0" w:firstRow="1" w:lastRow="0" w:firstColumn="1" w:lastColumn="0" w:noHBand="0" w:noVBand="1"/>
      </w:tblPr>
      <w:tblGrid>
        <w:gridCol w:w="5222"/>
        <w:gridCol w:w="5222"/>
      </w:tblGrid>
      <w:tr w:rsidR="001C3AC4" w14:paraId="04B0EC0E" w14:textId="77777777">
        <w:trPr>
          <w:jc w:val="center"/>
        </w:trPr>
        <w:tc>
          <w:tcPr>
            <w:tcW w:w="5227" w:type="dxa"/>
            <w:shd w:val="clear" w:color="auto" w:fill="57068C"/>
            <w:tcMar>
              <w:top w:w="70" w:type="dxa"/>
              <w:left w:w="90" w:type="dxa"/>
              <w:bottom w:w="70" w:type="dxa"/>
              <w:right w:w="90" w:type="dxa"/>
            </w:tcMar>
          </w:tcPr>
          <w:p w14:paraId="04B0EC0C" w14:textId="77777777" w:rsidR="001C3AC4" w:rsidRDefault="00B04238">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04B0EC0D" w14:textId="77777777" w:rsidR="001C3AC4" w:rsidRDefault="00B04238">
            <w:pPr>
              <w:spacing w:after="20"/>
              <w:rPr>
                <w:rFonts w:hint="eastAsia"/>
              </w:rPr>
            </w:pPr>
            <w:r>
              <w:rPr>
                <w:b/>
                <w:color w:val="FFFFFF"/>
                <w:sz w:val="17"/>
              </w:rPr>
              <w:t>Student record</w:t>
            </w:r>
          </w:p>
        </w:tc>
      </w:tr>
      <w:tr w:rsidR="001C3AC4" w14:paraId="04B0EC11" w14:textId="77777777">
        <w:trPr>
          <w:jc w:val="center"/>
        </w:trPr>
        <w:tc>
          <w:tcPr>
            <w:tcW w:w="5227" w:type="dxa"/>
            <w:tcMar>
              <w:top w:w="70" w:type="dxa"/>
              <w:left w:w="90" w:type="dxa"/>
              <w:bottom w:w="70" w:type="dxa"/>
              <w:right w:w="90" w:type="dxa"/>
            </w:tcMar>
          </w:tcPr>
          <w:p w14:paraId="04B0EC0F" w14:textId="77777777" w:rsidR="001C3AC4" w:rsidRDefault="00B04238">
            <w:pPr>
              <w:spacing w:after="20"/>
              <w:rPr>
                <w:rFonts w:hint="eastAsia"/>
              </w:rPr>
            </w:pPr>
            <w:r>
              <w:rPr>
                <w:sz w:val="17"/>
              </w:rPr>
              <w:t>ET generally</w:t>
            </w:r>
          </w:p>
        </w:tc>
        <w:tc>
          <w:tcPr>
            <w:tcW w:w="5227" w:type="dxa"/>
            <w:tcMar>
              <w:top w:w="70" w:type="dxa"/>
              <w:left w:w="90" w:type="dxa"/>
              <w:bottom w:w="70" w:type="dxa"/>
              <w:right w:w="90" w:type="dxa"/>
            </w:tcMar>
          </w:tcPr>
          <w:p>
            <w:pPr>
              <w:spacing w:after="60"/>
            </w:pPr>
            <w:r>
              <w:rPr>
                <w:sz w:val="20"/>
              </w:rPr>
              <w:t>D1: Incremental under the fixed narrow synthetic assumptions; breakthrough and potentially Promethean significance are unestablished. G2: qualified potentially Promethean candidate only within its fictional evidence; actual-world classification remains Undetermined.</w:t>
            </w:r>
          </w:p>
        </w:tc>
      </w:tr>
      <w:tr w:rsidR="001C3AC4" w14:paraId="04B0EC14" w14:textId="77777777">
        <w:trPr>
          <w:jc w:val="center"/>
        </w:trPr>
        <w:tc>
          <w:tcPr>
            <w:tcW w:w="5227" w:type="dxa"/>
            <w:tcMar>
              <w:top w:w="70" w:type="dxa"/>
              <w:left w:w="90" w:type="dxa"/>
              <w:bottom w:w="70" w:type="dxa"/>
              <w:right w:w="90" w:type="dxa"/>
            </w:tcMar>
          </w:tcPr>
          <w:p w14:paraId="04B0EC12" w14:textId="77777777" w:rsidR="001C3AC4" w:rsidRDefault="00B04238">
            <w:pPr>
              <w:spacing w:after="20"/>
              <w:rPr>
                <w:rFonts w:hint="eastAsia"/>
              </w:rPr>
            </w:pPr>
            <w:r>
              <w:rPr>
                <w:sz w:val="17"/>
              </w:rPr>
              <w:t>ET for this application</w:t>
            </w:r>
          </w:p>
        </w:tc>
        <w:tc>
          <w:tcPr>
            <w:tcW w:w="5227" w:type="dxa"/>
            <w:tcMar>
              <w:top w:w="70" w:type="dxa"/>
              <w:left w:w="90" w:type="dxa"/>
              <w:bottom w:w="70" w:type="dxa"/>
              <w:right w:w="90" w:type="dxa"/>
            </w:tcMar>
          </w:tcPr>
          <w:p>
            <w:pPr>
              <w:spacing w:after="60"/>
            </w:pPr>
            <w:r>
              <w:rPr>
                <w:sz w:val="20"/>
              </w:rPr>
              <w:t>D1 recommendations are a prospective workflow improvement, not a demonstrated local gain or civilization-changing application. G2’s broader potential does not establish campaign-planning value. Autonomous execution is outside D1’s stated scope.</w:t>
            </w:r>
          </w:p>
        </w:tc>
      </w:tr>
      <w:tr w:rsidR="001C3AC4" w14:paraId="04B0EC17" w14:textId="77777777">
        <w:trPr>
          <w:jc w:val="center"/>
        </w:trPr>
        <w:tc>
          <w:tcPr>
            <w:tcW w:w="5227" w:type="dxa"/>
            <w:tcMar>
              <w:top w:w="70" w:type="dxa"/>
              <w:left w:w="90" w:type="dxa"/>
              <w:bottom w:w="70" w:type="dxa"/>
              <w:right w:w="90" w:type="dxa"/>
            </w:tcMar>
          </w:tcPr>
          <w:p w14:paraId="04B0EC15" w14:textId="77777777" w:rsidR="001C3AC4" w:rsidRDefault="00B04238">
            <w:pPr>
              <w:spacing w:after="20"/>
              <w:rPr>
                <w:rFonts w:hint="eastAsia"/>
              </w:rPr>
            </w:pPr>
            <w:r>
              <w:rPr>
                <w:sz w:val="17"/>
              </w:rPr>
              <w:t>ET for this application in this organization</w:t>
            </w:r>
          </w:p>
        </w:tc>
        <w:tc>
          <w:tcPr>
            <w:tcW w:w="5227" w:type="dxa"/>
            <w:tcMar>
              <w:top w:w="70" w:type="dxa"/>
              <w:left w:w="90" w:type="dxa"/>
              <w:bottom w:w="70" w:type="dxa"/>
              <w:right w:w="90" w:type="dxa"/>
            </w:tcMar>
          </w:tcPr>
          <w:p>
            <w:pPr>
              <w:spacing w:after="60"/>
            </w:pPr>
            <w:r>
              <w:rPr>
                <w:sz w:val="20"/>
              </w:rPr>
              <w:t>A cautious agency can investigate bounded learning while preserving oversight; aggressive posture raises exposure without raising significance. Missing data/skills weaken local fit, not the general classification. No deployment approval is given.</w:t>
            </w:r>
          </w:p>
        </w:tc>
      </w:tr>
      <w:tr w:rsidR="001C3AC4" w14:paraId="04B0EC1A" w14:textId="77777777">
        <w:trPr>
          <w:jc w:val="center"/>
        </w:trPr>
        <w:tc>
          <w:tcPr>
            <w:tcW w:w="5227" w:type="dxa"/>
            <w:tcMar>
              <w:top w:w="70" w:type="dxa"/>
              <w:left w:w="90" w:type="dxa"/>
              <w:bottom w:w="70" w:type="dxa"/>
              <w:right w:w="90" w:type="dxa"/>
            </w:tcMar>
          </w:tcPr>
          <w:p w14:paraId="04B0EC18" w14:textId="77777777" w:rsidR="001C3AC4" w:rsidRDefault="00B04238">
            <w:pPr>
              <w:spacing w:after="20"/>
              <w:rPr>
                <w:rFonts w:hint="eastAsia"/>
              </w:rPr>
            </w:pPr>
            <w:r>
              <w:rPr>
                <w:sz w:val="17"/>
              </w:rPr>
              <w:t>Bounded management implication</w:t>
            </w:r>
          </w:p>
        </w:tc>
        <w:tc>
          <w:tcPr>
            <w:tcW w:w="5227" w:type="dxa"/>
            <w:tcMar>
              <w:top w:w="70" w:type="dxa"/>
              <w:left w:w="90" w:type="dxa"/>
              <w:bottom w:w="70" w:type="dxa"/>
              <w:right w:w="90" w:type="dxa"/>
            </w:tcMar>
          </w:tcPr>
          <w:p>
            <w:pPr>
              <w:spacing w:after="60"/>
            </w:pPr>
            <w:r>
              <w:rPr>
                <w:sz w:val="20"/>
              </w:rPr>
              <w:t>Define outcome, safety, cost, learning and time gates before local testing. Stop or redesign an unsuccessful implementation if agreed gates fail, while retaining proportionate technology monitoring. Refer actual adoption/investment approval to accountable decision-makers.</w:t>
            </w:r>
          </w:p>
        </w:tc>
      </w:tr>
      <w:tr w:rsidR="001C3AC4" w14:paraId="04B0EC1D" w14:textId="77777777">
        <w:trPr>
          <w:jc w:val="center"/>
        </w:trPr>
        <w:tc>
          <w:tcPr>
            <w:tcW w:w="5227" w:type="dxa"/>
            <w:tcMar>
              <w:top w:w="70" w:type="dxa"/>
              <w:left w:w="90" w:type="dxa"/>
              <w:bottom w:w="70" w:type="dxa"/>
              <w:right w:w="90" w:type="dxa"/>
            </w:tcMar>
          </w:tcPr>
          <w:p w14:paraId="04B0EC1B" w14:textId="77777777" w:rsidR="001C3AC4" w:rsidRDefault="00B04238">
            <w:pPr>
              <w:spacing w:after="20"/>
              <w:rPr>
                <w:rFonts w:hint="eastAsia"/>
              </w:rPr>
            </w:pPr>
            <w:r>
              <w:rPr>
                <w:sz w:val="17"/>
              </w:rPr>
              <w:t>Confidence / uncertainty</w:t>
            </w:r>
          </w:p>
        </w:tc>
        <w:tc>
          <w:tcPr>
            <w:tcW w:w="5227" w:type="dxa"/>
            <w:tcMar>
              <w:top w:w="70" w:type="dxa"/>
              <w:left w:w="90" w:type="dxa"/>
              <w:bottom w:w="70" w:type="dxa"/>
              <w:right w:w="90" w:type="dxa"/>
            </w:tcMar>
          </w:tcPr>
          <w:p>
            <w:pPr>
              <w:spacing w:after="60"/>
            </w:pPr>
            <w:r>
              <w:rPr>
                <w:sz w:val="20"/>
              </w:rPr>
              <w:t>Moderate confidence in conditional scenario consistency; low or Undetermined confidence in actual-world significance and local outcomes. Long-run breadth, durability, access and infrastructure remain uncertain. Significance is not equivalent to desirability.</w:t>
            </w:r>
          </w:p>
        </w:tc>
      </w:tr>
      <w:tr w:rsidR="001C3AC4" w14:paraId="04B0EC20" w14:textId="77777777">
        <w:trPr>
          <w:jc w:val="center"/>
        </w:trPr>
        <w:tc>
          <w:tcPr>
            <w:tcW w:w="5227" w:type="dxa"/>
            <w:tcMar>
              <w:top w:w="70" w:type="dxa"/>
              <w:left w:w="90" w:type="dxa"/>
              <w:bottom w:w="70" w:type="dxa"/>
              <w:right w:w="90" w:type="dxa"/>
            </w:tcMar>
          </w:tcPr>
          <w:p w14:paraId="04B0EC1E" w14:textId="77777777" w:rsidR="001C3AC4" w:rsidRDefault="00B04238">
            <w:pPr>
              <w:spacing w:after="20"/>
              <w:rPr>
                <w:rFonts w:hint="eastAsia"/>
              </w:rPr>
            </w:pPr>
            <w:r>
              <w:rPr>
                <w:sz w:val="17"/>
              </w:rPr>
              <w:t>What evidence or condition would change the conclusion</w:t>
            </w:r>
          </w:p>
        </w:tc>
        <w:tc>
          <w:tcPr>
            <w:tcW w:w="5227" w:type="dxa"/>
            <w:tcMar>
              <w:top w:w="70" w:type="dxa"/>
              <w:left w:w="90" w:type="dxa"/>
              <w:bottom w:w="70" w:type="dxa"/>
              <w:right w:w="90" w:type="dxa"/>
            </w:tcMar>
          </w:tcPr>
          <w:p>
            <w:pPr>
              <w:spacing w:after="60"/>
            </w:pPr>
            <w:r>
              <w:rPr>
                <w:sz w:val="20"/>
              </w:rPr>
              <w:t>Original comparative capability results and independent replication; verified cross-domain use and durable structural effects; evidence of enabling infrastructure/access; controlled local outcomes, costs, rights and safety results.</w:t>
            </w:r>
          </w:p>
        </w:tc>
      </w:tr>
    </w:tbl>
    <w:p w14:paraId="04B0EC21" w14:textId="77777777" w:rsidR="001C3AC4" w:rsidRDefault="00B04238">
      <w:pPr>
        <w:pStyle w:val="Heading1"/>
      </w:pPr>
      <w:r>
        <w:lastRenderedPageBreak/>
        <w:t>D. Evidence and Testing</w:t>
      </w:r>
    </w:p>
    <w:tbl>
      <w:tblPr>
        <w:tblStyle w:val="TableGrid"/>
        <w:tblW w:w="0" w:type="auto"/>
        <w:jc w:val="center"/>
        <w:tblLook w:val="04A0" w:firstRow="1" w:lastRow="0" w:firstColumn="1" w:lastColumn="0" w:noHBand="0" w:noVBand="1"/>
      </w:tblPr>
      <w:tblGrid>
        <w:gridCol w:w="5223"/>
        <w:gridCol w:w="5221"/>
      </w:tblGrid>
      <w:tr w:rsidR="001C3AC4" w14:paraId="04B0EC24" w14:textId="77777777">
        <w:trPr>
          <w:jc w:val="center"/>
        </w:trPr>
        <w:tc>
          <w:tcPr>
            <w:tcW w:w="5227" w:type="dxa"/>
            <w:shd w:val="clear" w:color="auto" w:fill="57068C"/>
            <w:tcMar>
              <w:top w:w="70" w:type="dxa"/>
              <w:left w:w="90" w:type="dxa"/>
              <w:bottom w:w="70" w:type="dxa"/>
              <w:right w:w="90" w:type="dxa"/>
            </w:tcMar>
          </w:tcPr>
          <w:p w14:paraId="04B0EC22" w14:textId="77777777" w:rsidR="001C3AC4" w:rsidRDefault="00B04238">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04B0EC23" w14:textId="77777777" w:rsidR="001C3AC4" w:rsidRDefault="00B04238">
            <w:pPr>
              <w:spacing w:after="20"/>
              <w:rPr>
                <w:rFonts w:hint="eastAsia"/>
              </w:rPr>
            </w:pPr>
            <w:r>
              <w:rPr>
                <w:b/>
                <w:color w:val="FFFFFF"/>
                <w:sz w:val="17"/>
              </w:rPr>
              <w:t>Student record</w:t>
            </w:r>
          </w:p>
        </w:tc>
      </w:tr>
      <w:tr w:rsidR="001C3AC4" w14:paraId="04B0EC27" w14:textId="77777777">
        <w:trPr>
          <w:jc w:val="center"/>
        </w:trPr>
        <w:tc>
          <w:tcPr>
            <w:tcW w:w="5227" w:type="dxa"/>
            <w:tcMar>
              <w:top w:w="70" w:type="dxa"/>
              <w:left w:w="90" w:type="dxa"/>
              <w:bottom w:w="70" w:type="dxa"/>
              <w:right w:w="90" w:type="dxa"/>
            </w:tcMar>
          </w:tcPr>
          <w:p w14:paraId="04B0EC25" w14:textId="77777777" w:rsidR="001C3AC4" w:rsidRDefault="00B04238">
            <w:pPr>
              <w:spacing w:after="20"/>
              <w:rPr>
                <w:rFonts w:hint="eastAsia"/>
              </w:rPr>
            </w:pPr>
            <w:r>
              <w:rPr>
                <w:sz w:val="17"/>
              </w:rPr>
              <w:t>Most important evidence/source(s)</w:t>
            </w:r>
          </w:p>
        </w:tc>
        <w:tc>
          <w:tcPr>
            <w:tcW w:w="5227" w:type="dxa"/>
            <w:tcMar>
              <w:top w:w="70" w:type="dxa"/>
              <w:left w:w="90" w:type="dxa"/>
              <w:bottom w:w="70" w:type="dxa"/>
              <w:right w:w="90" w:type="dxa"/>
            </w:tcMar>
          </w:tcPr>
          <w:p>
            <w:pPr>
              <w:spacing w:after="60"/>
            </w:pPr>
            <w:r>
              <w:rPr>
                <w:sz w:val="20"/>
              </w:rPr>
              <w:t>Uploaded Assignment 4 memo, Lab 5 learning notes and frozen scaffold; case JSON files, prompt/output hashes and validation logs. Lab 5 informs reasoning but does not independently verify AI/metaverse facts. G2’s supporting and opposing evidence is explicitly hypothetical.</w:t>
            </w:r>
          </w:p>
        </w:tc>
      </w:tr>
      <w:tr w:rsidR="001C3AC4" w14:paraId="04B0EC2A" w14:textId="77777777">
        <w:trPr>
          <w:jc w:val="center"/>
        </w:trPr>
        <w:tc>
          <w:tcPr>
            <w:tcW w:w="5227" w:type="dxa"/>
            <w:tcMar>
              <w:top w:w="70" w:type="dxa"/>
              <w:left w:w="90" w:type="dxa"/>
              <w:bottom w:w="70" w:type="dxa"/>
              <w:right w:w="90" w:type="dxa"/>
            </w:tcMar>
          </w:tcPr>
          <w:p w14:paraId="04B0EC28" w14:textId="77777777" w:rsidR="001C3AC4" w:rsidRDefault="00B04238">
            <w:pPr>
              <w:spacing w:after="20"/>
              <w:rPr>
                <w:rFonts w:hint="eastAsia"/>
              </w:rPr>
            </w:pPr>
            <w:r>
              <w:rPr>
                <w:sz w:val="17"/>
              </w:rPr>
              <w:t>Primary test - result</w:t>
            </w:r>
          </w:p>
        </w:tc>
        <w:tc>
          <w:tcPr>
            <w:tcW w:w="5227" w:type="dxa"/>
            <w:tcMar>
              <w:top w:w="70" w:type="dxa"/>
              <w:left w:w="90" w:type="dxa"/>
              <w:bottom w:w="70" w:type="dxa"/>
              <w:right w:w="90" w:type="dxa"/>
            </w:tcMar>
          </w:tcPr>
          <w:p>
            <w:pPr>
              <w:spacing w:after="60"/>
            </w:pPr>
            <w:r>
              <w:rPr>
                <w:sz w:val="20"/>
              </w:rPr>
              <w:t>The saved D1 Codex example classifies the narrow technology as Incremental and treats the pilot as prospective local learning. Five inputs and five example outputs pass full schemas; all five outputs pass the supplied validator. This is an illustrative same-assistant evaluation, not an independent ChatGPT execution.</w:t>
            </w:r>
          </w:p>
        </w:tc>
      </w:tr>
      <w:tr w:rsidR="001C3AC4" w14:paraId="04B0EC2D" w14:textId="77777777">
        <w:trPr>
          <w:jc w:val="center"/>
        </w:trPr>
        <w:tc>
          <w:tcPr>
            <w:tcW w:w="5227" w:type="dxa"/>
            <w:tcMar>
              <w:top w:w="70" w:type="dxa"/>
              <w:left w:w="90" w:type="dxa"/>
              <w:bottom w:w="70" w:type="dxa"/>
              <w:right w:w="90" w:type="dxa"/>
            </w:tcMar>
          </w:tcPr>
          <w:p w14:paraId="04B0EC2B" w14:textId="77777777" w:rsidR="001C3AC4" w:rsidRDefault="00B04238">
            <w:pPr>
              <w:spacing w:after="20"/>
              <w:rPr>
                <w:rFonts w:hint="eastAsia"/>
              </w:rPr>
            </w:pPr>
            <w:r>
              <w:rPr>
                <w:sz w:val="17"/>
              </w:rPr>
              <w:t>Contrast test - what appropriately stayed stable</w:t>
            </w:r>
          </w:p>
        </w:tc>
        <w:tc>
          <w:tcPr>
            <w:tcW w:w="5227" w:type="dxa"/>
            <w:tcMar>
              <w:top w:w="70" w:type="dxa"/>
              <w:left w:w="90" w:type="dxa"/>
              <w:bottom w:w="70" w:type="dxa"/>
              <w:right w:w="90" w:type="dxa"/>
            </w:tcMar>
          </w:tcPr>
          <w:p>
            <w:pPr>
              <w:spacing w:after="60"/>
            </w:pPr>
            <w:r>
              <w:rPr>
                <w:sz w:val="20"/>
              </w:rPr>
              <w:t>The broad D1 finding is identical across the primary, aggressive-posture, low-readiness and hype-pressure examples. Organization, posture and publicity did not rewrite general technology evidence.</w:t>
            </w:r>
          </w:p>
        </w:tc>
      </w:tr>
      <w:tr w:rsidR="001C3AC4" w14:paraId="04B0EC30" w14:textId="77777777">
        <w:trPr>
          <w:jc w:val="center"/>
        </w:trPr>
        <w:tc>
          <w:tcPr>
            <w:tcW w:w="5227" w:type="dxa"/>
            <w:tcMar>
              <w:top w:w="70" w:type="dxa"/>
              <w:left w:w="90" w:type="dxa"/>
              <w:bottom w:w="70" w:type="dxa"/>
              <w:right w:w="90" w:type="dxa"/>
            </w:tcMar>
          </w:tcPr>
          <w:p w14:paraId="04B0EC2E" w14:textId="77777777" w:rsidR="001C3AC4" w:rsidRDefault="00B04238">
            <w:pPr>
              <w:spacing w:after="20"/>
              <w:rPr>
                <w:rFonts w:hint="eastAsia"/>
              </w:rPr>
            </w:pPr>
            <w:r>
              <w:rPr>
                <w:sz w:val="17"/>
              </w:rPr>
              <w:t>Contrast test - what appropriately changed</w:t>
            </w:r>
          </w:p>
        </w:tc>
        <w:tc>
          <w:tcPr>
            <w:tcW w:w="5227" w:type="dxa"/>
            <w:tcMar>
              <w:top w:w="70" w:type="dxa"/>
              <w:left w:w="90" w:type="dxa"/>
              <w:bottom w:w="70" w:type="dxa"/>
              <w:right w:w="90" w:type="dxa"/>
            </w:tcMar>
          </w:tcPr>
          <w:p>
            <w:pPr>
              <w:spacing w:after="60"/>
            </w:pPr>
            <w:r>
              <w:rPr>
                <w:sz w:val="20"/>
              </w:rPr>
              <w:t>Local exposure, prerequisites and recommended inquiry change with posture/readiness. G2 permits a qualified higher-potential hypothesis but remains a poor demonstrated local fit. G2 is a different technology boundary case, not a context-induced reclassification of D1.</w:t>
            </w:r>
          </w:p>
        </w:tc>
      </w:tr>
      <w:tr w:rsidR="001C3AC4" w14:paraId="04B0EC33" w14:textId="77777777">
        <w:trPr>
          <w:jc w:val="center"/>
        </w:trPr>
        <w:tc>
          <w:tcPr>
            <w:tcW w:w="5227" w:type="dxa"/>
            <w:tcMar>
              <w:top w:w="70" w:type="dxa"/>
              <w:left w:w="90" w:type="dxa"/>
              <w:bottom w:w="70" w:type="dxa"/>
              <w:right w:w="90" w:type="dxa"/>
            </w:tcMar>
          </w:tcPr>
          <w:p w14:paraId="04B0EC31" w14:textId="77777777" w:rsidR="001C3AC4" w:rsidRDefault="00B04238">
            <w:pPr>
              <w:spacing w:after="20"/>
              <w:rPr>
                <w:rFonts w:hint="eastAsia"/>
              </w:rPr>
            </w:pPr>
            <w:r>
              <w:rPr>
                <w:sz w:val="17"/>
              </w:rPr>
              <w:t>Weakness/failure found</w:t>
            </w:r>
          </w:p>
        </w:tc>
        <w:tc>
          <w:tcPr>
            <w:tcW w:w="5227" w:type="dxa"/>
            <w:tcMar>
              <w:top w:w="70" w:type="dxa"/>
              <w:left w:w="90" w:type="dxa"/>
              <w:bottom w:w="70" w:type="dxa"/>
              <w:right w:w="90" w:type="dxa"/>
            </w:tcMar>
          </w:tcPr>
          <w:p>
            <w:pPr>
              <w:spacing w:after="60"/>
            </w:pPr>
            <w:r>
              <w:rPr>
                <w:sz w:val="20"/>
              </w:rPr>
              <w:t>A deliberately constructed, preserved fixture claims confirmed Promethean status from funding/publicity and advocates immediate deployment. It passes structural validation but fails analytical review. It is not an observed failed live model run. Review also identified risks of equating transformation with benefit or requiring historical realization before acknowledging potential.</w:t>
            </w:r>
          </w:p>
        </w:tc>
      </w:tr>
      <w:tr w:rsidR="001C3AC4" w14:paraId="04B0EC36" w14:textId="77777777">
        <w:trPr>
          <w:jc w:val="center"/>
        </w:trPr>
        <w:tc>
          <w:tcPr>
            <w:tcW w:w="5227" w:type="dxa"/>
            <w:tcMar>
              <w:top w:w="70" w:type="dxa"/>
              <w:left w:w="90" w:type="dxa"/>
              <w:bottom w:w="70" w:type="dxa"/>
              <w:right w:w="90" w:type="dxa"/>
            </w:tcMar>
          </w:tcPr>
          <w:p w14:paraId="04B0EC34" w14:textId="77777777" w:rsidR="001C3AC4" w:rsidRDefault="00B04238">
            <w:pPr>
              <w:spacing w:after="20"/>
              <w:rPr>
                <w:rFonts w:hint="eastAsia"/>
              </w:rPr>
            </w:pPr>
            <w:r>
              <w:rPr>
                <w:sz w:val="17"/>
              </w:rPr>
              <w:t>Revision made and why</w:t>
            </w:r>
          </w:p>
        </w:tc>
        <w:tc>
          <w:tcPr>
            <w:tcW w:w="5227" w:type="dxa"/>
            <w:tcMar>
              <w:top w:w="70" w:type="dxa"/>
              <w:left w:w="90" w:type="dxa"/>
              <w:bottom w:w="70" w:type="dxa"/>
              <w:right w:w="90" w:type="dxa"/>
            </w:tcMar>
          </w:tcPr>
          <w:p>
            <w:pPr>
              <w:spacing w:after="60"/>
            </w:pPr>
            <w:r>
              <w:rPr>
                <w:sz w:val="20"/>
              </w:rPr>
              <w:t>Preserved pre-review v0.2 instructions; v0.3 separates significance from desirability, permits supported potential without claiming confirmation, and requires observable local stop/continue gates with accountable review. The fixture and diagnosis preserve the failure mode; no controlled before/after performance gain is claimed.</w:t>
            </w:r>
          </w:p>
        </w:tc>
      </w:tr>
      <w:tr w:rsidR="001C3AC4" w14:paraId="04B0EC39" w14:textId="77777777">
        <w:trPr>
          <w:jc w:val="center"/>
        </w:trPr>
        <w:tc>
          <w:tcPr>
            <w:tcW w:w="5227" w:type="dxa"/>
            <w:tcMar>
              <w:top w:w="70" w:type="dxa"/>
              <w:left w:w="90" w:type="dxa"/>
              <w:bottom w:w="70" w:type="dxa"/>
              <w:right w:w="90" w:type="dxa"/>
            </w:tcMar>
          </w:tcPr>
          <w:p w14:paraId="04B0EC37" w14:textId="77777777" w:rsidR="001C3AC4" w:rsidRDefault="00B04238">
            <w:pPr>
              <w:spacing w:after="20"/>
              <w:rPr>
                <w:rFonts w:hint="eastAsia"/>
              </w:rPr>
            </w:pPr>
            <w:r>
              <w:rPr>
                <w:sz w:val="17"/>
              </w:rPr>
              <w:t>Remaining limitation / abstention condition</w:t>
            </w:r>
          </w:p>
        </w:tc>
        <w:tc>
          <w:tcPr>
            <w:tcW w:w="5227" w:type="dxa"/>
            <w:tcMar>
              <w:top w:w="70" w:type="dxa"/>
              <w:left w:w="90" w:type="dxa"/>
              <w:bottom w:w="70" w:type="dxa"/>
              <w:right w:w="90" w:type="dxa"/>
            </w:tcMar>
          </w:tcPr>
          <w:p>
            <w:pPr>
              <w:spacing w:after="60"/>
            </w:pPr>
            <w:r>
              <w:rPr>
                <w:sz w:val="20"/>
              </w:rPr>
              <w:t>Fictional cases, same-assistant examples, no separate ChatGPT sessions, no empirical trials and no verified actual-market/capability history. Qualify or abstain when technology scope, comparative evidence or a credible cross-domain pathway is missing. Funding, publicity and adoption counts alone are insufficient.</w:t>
            </w:r>
          </w:p>
        </w:tc>
      </w:tr>
    </w:tbl>
    <w:p w14:paraId="04B0EC3A" w14:textId="77777777" w:rsidR="001C3AC4" w:rsidRDefault="00B04238">
      <w:pPr>
        <w:pStyle w:val="Heading1"/>
      </w:pPr>
      <w:r>
        <w:t>E. Independent Judgment and Handoff</w:t>
      </w:r>
    </w:p>
    <w:tbl>
      <w:tblPr>
        <w:tblStyle w:val="TableGrid"/>
        <w:tblW w:w="0" w:type="auto"/>
        <w:jc w:val="center"/>
        <w:tblLook w:val="04A0" w:firstRow="1" w:lastRow="0" w:firstColumn="1" w:lastColumn="0" w:noHBand="0" w:noVBand="1"/>
      </w:tblPr>
      <w:tblGrid>
        <w:gridCol w:w="5222"/>
        <w:gridCol w:w="5222"/>
      </w:tblGrid>
      <w:tr w:rsidR="001C3AC4" w14:paraId="04B0EC3D" w14:textId="77777777">
        <w:trPr>
          <w:jc w:val="center"/>
        </w:trPr>
        <w:tc>
          <w:tcPr>
            <w:tcW w:w="5227" w:type="dxa"/>
            <w:shd w:val="clear" w:color="auto" w:fill="57068C"/>
            <w:tcMar>
              <w:top w:w="70" w:type="dxa"/>
              <w:left w:w="90" w:type="dxa"/>
              <w:bottom w:w="70" w:type="dxa"/>
              <w:right w:w="90" w:type="dxa"/>
            </w:tcMar>
          </w:tcPr>
          <w:p w14:paraId="04B0EC3B" w14:textId="77777777" w:rsidR="001C3AC4" w:rsidRDefault="00B04238">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04B0EC3C" w14:textId="77777777" w:rsidR="001C3AC4" w:rsidRDefault="00B04238">
            <w:pPr>
              <w:spacing w:after="20"/>
              <w:rPr>
                <w:rFonts w:hint="eastAsia"/>
              </w:rPr>
            </w:pPr>
            <w:r>
              <w:rPr>
                <w:b/>
                <w:color w:val="FFFFFF"/>
                <w:sz w:val="17"/>
              </w:rPr>
              <w:t>Student record</w:t>
            </w:r>
          </w:p>
        </w:tc>
      </w:tr>
      <w:tr w:rsidR="001C3AC4" w14:paraId="04B0EC40" w14:textId="77777777">
        <w:trPr>
          <w:jc w:val="center"/>
        </w:trPr>
        <w:tc>
          <w:tcPr>
            <w:tcW w:w="5227" w:type="dxa"/>
            <w:tcMar>
              <w:top w:w="70" w:type="dxa"/>
              <w:left w:w="90" w:type="dxa"/>
              <w:bottom w:w="70" w:type="dxa"/>
              <w:right w:w="90" w:type="dxa"/>
            </w:tcMar>
          </w:tcPr>
          <w:p w14:paraId="04B0EC3E" w14:textId="77777777" w:rsidR="001C3AC4" w:rsidRDefault="00B04238">
            <w:pPr>
              <w:spacing w:after="20"/>
              <w:rPr>
                <w:rFonts w:hint="eastAsia"/>
              </w:rPr>
            </w:pPr>
            <w:r>
              <w:rPr>
                <w:sz w:val="17"/>
              </w:rPr>
              <w:t>Is the agent credible enough for team consideration? Why?</w:t>
            </w:r>
          </w:p>
        </w:tc>
        <w:tc>
          <w:tcPr>
            <w:tcW w:w="5227" w:type="dxa"/>
            <w:tcMar>
              <w:top w:w="70" w:type="dxa"/>
              <w:left w:w="90" w:type="dxa"/>
              <w:bottom w:w="70" w:type="dxa"/>
              <w:right w:w="90" w:type="dxa"/>
            </w:tcMar>
          </w:tcPr>
          <w:p>
            <w:pPr>
              <w:spacing w:after="60"/>
            </w:pPr>
            <w:r>
              <w:rPr>
                <w:sz w:val="20"/>
              </w:rPr>
              <w:t>Yes, provisionally as an analytical aid: explicit challengeable criteria, three-level separation, opposing interpretations, anti-hype rules and qualification behavior are documented; integrity/schema checks pass. Student review and original evidence are still required before real-world judgment.</w:t>
            </w:r>
          </w:p>
        </w:tc>
      </w:tr>
      <w:tr w:rsidR="001C3AC4" w14:paraId="04B0EC43" w14:textId="77777777">
        <w:trPr>
          <w:jc w:val="center"/>
        </w:trPr>
        <w:tc>
          <w:tcPr>
            <w:tcW w:w="5227" w:type="dxa"/>
            <w:tcMar>
              <w:top w:w="70" w:type="dxa"/>
              <w:left w:w="90" w:type="dxa"/>
              <w:bottom w:w="70" w:type="dxa"/>
              <w:right w:w="90" w:type="dxa"/>
            </w:tcMar>
          </w:tcPr>
          <w:p w14:paraId="04B0EC41" w14:textId="77777777" w:rsidR="001C3AC4" w:rsidRDefault="00B04238">
            <w:pPr>
              <w:spacing w:after="20"/>
              <w:rPr>
                <w:rFonts w:hint="eastAsia"/>
              </w:rPr>
            </w:pPr>
            <w:r>
              <w:rPr>
                <w:sz w:val="17"/>
              </w:rPr>
              <w:t>Most important recommendation to the team</w:t>
            </w:r>
          </w:p>
        </w:tc>
        <w:tc>
          <w:tcPr>
            <w:tcW w:w="5227" w:type="dxa"/>
            <w:tcMar>
              <w:top w:w="70" w:type="dxa"/>
              <w:left w:w="90" w:type="dxa"/>
              <w:bottom w:w="70" w:type="dxa"/>
              <w:right w:w="90" w:type="dxa"/>
            </w:tcMar>
          </w:tcPr>
          <w:p>
            <w:pPr>
              <w:spacing w:after="60"/>
            </w:pPr>
            <w:r>
              <w:rPr>
                <w:sz w:val="20"/>
              </w:rPr>
              <w:t>Never turn long-term importance into automatic near-term adoption advocacy. Preserve the strongest counter-case: a breakthrough may remain limited in structural reach. Handoffs: adoption—investment/adopt/wait decisions; readiness—data/skills/controls; diffusion—uptake; landscape—vendors/market; innovation/disruption—value displacement.</w:t>
            </w:r>
          </w:p>
        </w:tc>
      </w:tr>
      <w:tr w:rsidR="001C3AC4" w14:paraId="04B0EC46" w14:textId="77777777">
        <w:trPr>
          <w:jc w:val="center"/>
        </w:trPr>
        <w:tc>
          <w:tcPr>
            <w:tcW w:w="5227" w:type="dxa"/>
            <w:tcMar>
              <w:top w:w="70" w:type="dxa"/>
              <w:left w:w="90" w:type="dxa"/>
              <w:bottom w:w="70" w:type="dxa"/>
              <w:right w:w="90" w:type="dxa"/>
            </w:tcMar>
          </w:tcPr>
          <w:p w14:paraId="04B0EC44" w14:textId="77777777" w:rsidR="001C3AC4" w:rsidRDefault="00B04238">
            <w:pPr>
              <w:spacing w:after="20"/>
              <w:rPr>
                <w:rFonts w:hint="eastAsia"/>
              </w:rPr>
            </w:pPr>
            <w:r>
              <w:rPr>
                <w:sz w:val="17"/>
              </w:rPr>
              <w:t>AI / verification note</w:t>
            </w:r>
          </w:p>
        </w:tc>
        <w:tc>
          <w:tcPr>
            <w:tcW w:w="5227" w:type="dxa"/>
            <w:tcMar>
              <w:top w:w="70" w:type="dxa"/>
              <w:left w:w="90" w:type="dxa"/>
              <w:bottom w:w="70" w:type="dxa"/>
              <w:right w:w="90" w:type="dxa"/>
            </w:tcMar>
          </w:tcPr>
          <w:p>
            <w:pPr>
              <w:spacing w:after="60"/>
            </w:pPr>
            <w:r>
              <w:rPr>
                <w:sz w:val="20"/>
              </w:rPr>
              <w:t>Codex read the assignment, Lab 5 and scaffold; drafted criteria, guide, cases, packets and labeled examples. Checksums and full schemas verified integrity/contracts, not factual truth. Funding/media were not treated as capability evidence; no generated summary was offered as original external evidence. Independent ChatGPT and actual-technology verification remain outstanding.</w:t>
            </w:r>
          </w:p>
        </w:tc>
      </w:tr>
    </w:tbl>
    <w:p w14:paraId="04B0EC47" w14:textId="77777777" w:rsidR="00B04238" w:rsidRDefault="00B04238"/>
    <w:sectPr w:rsidR="00B04238"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1248C" w14:textId="77777777" w:rsidR="00B04238" w:rsidRDefault="00B04238">
      <w:pPr>
        <w:spacing w:after="0" w:line="240" w:lineRule="auto"/>
        <w:rPr>
          <w:rFonts w:hint="eastAsia"/>
        </w:rPr>
      </w:pPr>
      <w:r>
        <w:separator/>
      </w:r>
    </w:p>
  </w:endnote>
  <w:endnote w:type="continuationSeparator" w:id="0">
    <w:p w14:paraId="5A3A680B" w14:textId="77777777" w:rsidR="00B04238" w:rsidRDefault="00B0423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EC4C" w14:textId="77777777" w:rsidR="00630F3A" w:rsidRDefault="00B04238">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882C4" w14:textId="77777777" w:rsidR="00B04238" w:rsidRDefault="00B04238">
      <w:pPr>
        <w:spacing w:after="0" w:line="240" w:lineRule="auto"/>
        <w:rPr>
          <w:rFonts w:hint="eastAsia"/>
        </w:rPr>
      </w:pPr>
      <w:r>
        <w:separator/>
      </w:r>
    </w:p>
  </w:footnote>
  <w:footnote w:type="continuationSeparator" w:id="0">
    <w:p w14:paraId="064DB097" w14:textId="77777777" w:rsidR="00B04238" w:rsidRDefault="00B0423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EC4B" w14:textId="77777777" w:rsidR="00630F3A" w:rsidRDefault="00B04238">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3AC4"/>
    <w:rsid w:val="00214B14"/>
    <w:rsid w:val="0029639D"/>
    <w:rsid w:val="00326F90"/>
    <w:rsid w:val="00617660"/>
    <w:rsid w:val="00630F3A"/>
    <w:rsid w:val="006E721C"/>
    <w:rsid w:val="00AA1D8D"/>
    <w:rsid w:val="00B04238"/>
    <w:rsid w:val="00B47730"/>
    <w:rsid w:val="00C15DD7"/>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0EBD4"/>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210</Words>
  <Characters>1363</Characters>
  <Application>Microsoft Office Word</Application>
  <DocSecurity>0</DocSecurity>
  <Lines>20</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Zhu, Jie</cp:lastModifiedBy>
  <cp:revision>3</cp:revision>
  <dcterms:created xsi:type="dcterms:W3CDTF">2026-08-13T19:48:00Z</dcterms:created>
  <dcterms:modified xsi:type="dcterms:W3CDTF">2026-10-18T23:34:00Z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2026-10-18T23:34:26Z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ac3f492a-5fc5-4595-bf55-b8849d76187f</vt:lpwstr>
  </property>
  <property fmtid="{D5CDD505-2E9C-101B-9397-08002B2CF9AE}" pid="8" name="MSIP_Label_7ec73f6c-70eb-4b84-9ffa-39fe698bd292_ContentBits">
    <vt:lpwstr>0</vt:lpwstr>
  </property>
  <property fmtid="{D5CDD505-2E9C-101B-9397-08002B2CF9AE}" pid="9" name="MSIP_Label_7ec73f6c-70eb-4b84-9ffa-39fe698bd292_Tag">
    <vt:lpwstr>10, 0, 1, 1</vt:lpwstr>
  </property>
</Properties>
</file>