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720"/>
      </w:pPr>
      <w:r>
        <w:rPr>
          <w:rFonts w:ascii="Courier New" w:cs="Courier New" w:eastAsia="Courier New" w:hAnsi="Courier New"/>
          <w:color w:val="00897B"/>
          <w:spacing w:val="60"/>
          <w:sz w:val="18"/>
          <w:szCs w:val="18"/>
        </w:rPr>
        <w:t xml:space="preserve">RESEARCH REPORT  ·  MAY 2026</w:t>
      </w:r>
    </w:p>
    <w:p>
      <w:pPr>
        <w:pBdr>
          <w:bottom w:val="thick" w:color="00897B" w:sz="16" w:space="8"/>
        </w:pBdr>
        <w:spacing w:after="200" w:before="0"/>
      </w:pPr>
      <w:r>
        <w:rPr>
          <w:rFonts w:ascii="Arial" w:cs="Arial" w:eastAsia="Arial" w:hAnsi="Arial"/>
          <w:b/>
          <w:bCs/>
          <w:color w:val="1A237E"/>
          <w:sz w:val="56"/>
          <w:szCs w:val="56"/>
        </w:rPr>
        <w:t xml:space="preserve">Stablecoin Adoption in Emerging Markets:</w:t>
      </w:r>
    </w:p>
    <w:p>
      <w:pPr>
        <w:spacing w:after="480" w:before="160"/>
      </w:pPr>
      <w:r>
        <w:rPr>
          <w:rFonts w:ascii="Arial" w:cs="Arial" w:eastAsia="Arial" w:hAnsi="Arial"/>
          <w:i/>
          <w:iCs/>
          <w:color w:val="00897B"/>
          <w:sz w:val="48"/>
          <w:szCs w:val="48"/>
        </w:rPr>
        <w:t xml:space="preserve">A Data-Driven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19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Courier New" w:cs="Courier New" w:eastAsia="Courier New" w:hAnsi="Courier New"/>
                <w:color w:val="546E7A"/>
                <w:spacing w:val="30"/>
                <w:sz w:val="16"/>
                <w:szCs w:val="16"/>
              </w:rPr>
              <w:t xml:space="preserve">AUTHOR</w:t>
            </w:r>
          </w:p>
          <w:p>
            <w:pPr>
              <w:spacing w:after="0"/>
            </w:pPr>
            <w:r>
              <w:rPr>
                <w:rFonts w:ascii="Arial" w:cs="Arial" w:eastAsia="Arial" w:hAnsi="Arial"/>
                <w:b/>
                <w:bCs/>
                <w:color w:val="212121"/>
                <w:sz w:val="20"/>
                <w:szCs w:val="20"/>
              </w:rPr>
              <w:t xml:space="preserve">Okoro Enyi Reginald Chidera</w:t>
            </w:r>
          </w:p>
        </w:tc>
        <w:tc>
          <w:tcPr>
            <w:tcW w:type="dxa" w:w="378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46E7A"/>
                <w:spacing w:val="30"/>
                <w:sz w:val="16"/>
                <w:szCs w:val="16"/>
              </w:rPr>
              <w:t xml:space="preserve">FOCUS</w:t>
            </w:r>
          </w:p>
          <w:p>
            <w:pPr>
              <w:spacing w:after="0"/>
            </w:pPr>
            <w:r>
              <w:rPr>
                <w:rFonts w:ascii="Arial" w:cs="Arial" w:eastAsia="Arial" w:hAnsi="Arial"/>
                <w:b/>
                <w:bCs/>
                <w:color w:val="212121"/>
                <w:sz w:val="20"/>
                <w:szCs w:val="20"/>
              </w:rPr>
              <w:t xml:space="preserve">USDT · USDC · cUSD</w:t>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546E7A"/>
                <w:spacing w:val="30"/>
                <w:sz w:val="16"/>
                <w:szCs w:val="16"/>
              </w:rPr>
              <w:t xml:space="preserve">CHAINS</w:t>
            </w:r>
          </w:p>
          <w:p>
            <w:pPr>
              <w:spacing w:after="0"/>
            </w:pPr>
            <w:r>
              <w:rPr>
                <w:rFonts w:ascii="Arial" w:cs="Arial" w:eastAsia="Arial" w:hAnsi="Arial"/>
                <w:b/>
                <w:bCs/>
                <w:color w:val="212121"/>
                <w:sz w:val="20"/>
                <w:szCs w:val="20"/>
              </w:rPr>
              <w:t xml:space="preserve">Ethereum · Tron · BNB</w:t>
            </w:r>
          </w:p>
        </w:tc>
        <w:tc>
          <w:tcPr>
            <w:tcW w:type="dxa" w:w="1980"/>
            <w:tcBorders>
              <w:top w:val="none" w:color="FFFFFF" w:sz="0"/>
              <w:left w:val="none" w:color="FFFFFF" w:sz="0"/>
              <w:bottom w:val="none" w:color="FFFFFF" w:sz="0"/>
              <w:right w:val="none" w:color="FFFFFF" w:sz="0"/>
            </w:tcBorders>
            <w:tcMar>
              <w:top w:type="dxa" w:w="80"/>
              <w:left w:type="dxa" w:w="80"/>
              <w:bottom w:type="dxa" w:w="80"/>
              <w:right w:type="dxa" w:w="0"/>
            </w:tcMar>
          </w:tcPr>
          <w:p>
            <w:r>
              <w:rPr>
                <w:rFonts w:ascii="Courier New" w:cs="Courier New" w:eastAsia="Courier New" w:hAnsi="Courier New"/>
                <w:color w:val="546E7A"/>
                <w:spacing w:val="30"/>
                <w:sz w:val="16"/>
                <w:szCs w:val="16"/>
              </w:rPr>
              <w:t xml:space="preserve">DATA SOURCE</w:t>
            </w:r>
          </w:p>
          <w:p>
            <w:pPr>
              <w:spacing w:after="0"/>
            </w:pPr>
            <w:r>
              <w:rPr>
                <w:rFonts w:ascii="Arial" w:cs="Arial" w:eastAsia="Arial" w:hAnsi="Arial"/>
                <w:b/>
                <w:bCs/>
                <w:color w:val="212121"/>
                <w:sz w:val="20"/>
                <w:szCs w:val="20"/>
              </w:rPr>
              <w:t xml:space="preserve">Dune Analytics</w:t>
            </w:r>
          </w:p>
        </w:tc>
      </w:tr>
    </w:tbl>
    <w:p>
      <w:pPr>
        <w:spacing w:after="600" w:before="0"/>
      </w:pPr>
      <w:r>
        <w:t xml:space="preserve"/>
      </w:r>
    </w:p>
    <w:p>
      <w:pPr>
        <w:spacing w:after="0"/>
      </w:pPr>
      <w:r>
        <w:rPr>
          <w:rFonts w:ascii="Arial" w:cs="Arial" w:eastAsia="Arial" w:hAnsi="Arial"/>
          <w:i/>
          <w:iCs/>
          <w:color w:val="546E7A"/>
          <w:sz w:val="20"/>
          <w:szCs w:val="20"/>
        </w:rPr>
        <w:t xml:space="preserve">On-chain evidence from Dune Analytics · Ethereum, Tron &amp; BNB Chain · 2023–2026</w:t>
      </w:r>
    </w:p>
    <w:p>
      <w:r>
        <w:br w:type="page"/>
      </w:r>
    </w:p>
    <w:p>
      <w:pPr>
        <w:spacing w:after="60" w:before="400"/>
      </w:pPr>
      <w:r>
        <w:rPr>
          <w:rFonts w:ascii="Courier New" w:cs="Courier New" w:eastAsia="Courier New" w:hAnsi="Courier New"/>
          <w:b/>
          <w:bCs/>
          <w:color w:val="00897B"/>
          <w:sz w:val="18"/>
          <w:szCs w:val="18"/>
        </w:rPr>
        <w:t xml:space="preserve">01 ·  </w:t>
      </w:r>
      <w:r>
        <w:rPr>
          <w:rFonts w:ascii="Courier New" w:cs="Courier New" w:eastAsia="Courier New" w:hAnsi="Courier New"/>
          <w:b/>
          <w:bCs/>
          <w:color w:val="00897B"/>
          <w:spacing w:val="40"/>
          <w:sz w:val="18"/>
          <w:szCs w:val="18"/>
        </w:rPr>
        <w:t xml:space="preserve">HYPOTHESIS</w:t>
      </w:r>
    </w:p>
    <w:p>
      <w:pPr>
        <w:pStyle w:val="Heading1"/>
        <w:pBdr>
          <w:bottom w:val="single" w:color="00897B" w:sz="8" w:space="4"/>
        </w:pBdr>
        <w:spacing w:after="120" w:before="360"/>
      </w:pPr>
      <w:r>
        <w:rPr>
          <w:rFonts w:ascii="Arial" w:cs="Arial" w:eastAsia="Arial" w:hAnsi="Arial"/>
          <w:b/>
          <w:bCs/>
          <w:color w:val="1A237E"/>
          <w:sz w:val="32"/>
          <w:szCs w:val="32"/>
        </w:rPr>
        <w:t xml:space="preserve">The Research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00897B" w:sz="20"/>
              <w:bottom w:val="none" w:color="FFFFFF" w:sz="0"/>
              <w:right w:val="none" w:color="FFFFFF" w:sz="0"/>
            </w:tcBorders>
            <w:shd w:fill="E0F2F1" w:val="clear"/>
            <w:tcMar>
              <w:top w:type="dxa" w:w="200"/>
              <w:left w:type="dxa" w:w="280"/>
              <w:bottom w:type="dxa" w:w="200"/>
              <w:right w:type="dxa" w:w="280"/>
            </w:tcMar>
          </w:tcPr>
          <w:p>
            <w:pPr>
              <w:spacing w:after="60"/>
            </w:pPr>
            <w:r>
              <w:rPr>
                <w:rFonts w:ascii="Courier New" w:cs="Courier New" w:eastAsia="Courier New" w:hAnsi="Courier New"/>
                <w:color w:val="00897B"/>
                <w:spacing w:val="40"/>
                <w:sz w:val="18"/>
                <w:szCs w:val="18"/>
              </w:rPr>
              <w:t xml:space="preserve">CORE HYPOTHESIS</w:t>
            </w:r>
          </w:p>
          <w:p>
            <w:pPr>
              <w:spacing w:after="0"/>
            </w:pPr>
            <w:r>
              <w:rPr>
                <w:rFonts w:ascii="Arial" w:cs="Arial" w:eastAsia="Arial" w:hAnsi="Arial"/>
                <w:b/>
                <w:bCs/>
                <w:i/>
                <w:iCs/>
                <w:color w:val="1A237E"/>
                <w:sz w:val="28"/>
                <w:szCs w:val="28"/>
              </w:rPr>
              <w:t xml:space="preserve">"Stablecoin adoption in emerging markets is driven primarily by inflation hedging and cross-border payments — not by DeFi participation."</w:t>
            </w:r>
          </w:p>
        </w:tc>
      </w:tr>
    </w:tbl>
    <w:p>
      <w:pPr>
        <w:spacing w:after="160" w:before="0"/>
      </w:pPr>
      <w:r>
        <w:t xml:space="preserve"/>
      </w:r>
    </w:p>
    <w:p>
      <w:pPr>
        <w:spacing w:after="120" w:before="0" w:line="320"/>
      </w:pPr>
      <w:r>
        <w:rPr>
          <w:rFonts w:ascii="Arial" w:cs="Arial" w:eastAsia="Arial" w:hAnsi="Arial"/>
          <w:color w:val="37474F"/>
          <w:sz w:val="22"/>
          <w:szCs w:val="22"/>
        </w:rPr>
        <w:t xml:space="preserve">The dominant narrative in crypto media frames stablecoin growth as a DeFi story — yield farming, liquidity provision, and protocol usage. But on-chain data tells a more nuanced story. This analysis tests whether retail-scale wallet behaviour in high-inflation economies reveals a distinct adoption pattern: stablecoins as a </w:t>
      </w:r>
      <w:r>
        <w:rPr>
          <w:rFonts w:ascii="Arial" w:cs="Arial" w:eastAsia="Arial" w:hAnsi="Arial"/>
          <w:b/>
          <w:bCs/>
          <w:color w:val="212121"/>
          <w:sz w:val="22"/>
          <w:szCs w:val="22"/>
        </w:rPr>
        <w:t xml:space="preserve">dollar substitute</w:t>
      </w:r>
      <w:r>
        <w:rPr>
          <w:rFonts w:ascii="Arial" w:cs="Arial" w:eastAsia="Arial" w:hAnsi="Arial"/>
          <w:color w:val="37474F"/>
          <w:sz w:val="22"/>
          <w:szCs w:val="22"/>
        </w:rPr>
        <w:t xml:space="preserve">, not a DeFi instrument.</w:t>
      </w:r>
    </w:p>
    <w:p>
      <w:pPr>
        <w:spacing w:after="120" w:before="0" w:line="320"/>
      </w:pPr>
      <w:r>
        <w:rPr>
          <w:rFonts w:ascii="Arial" w:cs="Arial" w:eastAsia="Arial" w:hAnsi="Arial"/>
          <w:color w:val="37474F"/>
          <w:sz w:val="22"/>
          <w:szCs w:val="22"/>
        </w:rPr>
        <w:t xml:space="preserve">Inspiration came from observing rising peer-to-peer USDT volume across Sub-Saharan Africa alongside local currency depreciation events — particularly the </w:t>
      </w:r>
      <w:r>
        <w:rPr>
          <w:rFonts w:ascii="Arial" w:cs="Arial" w:eastAsia="Arial" w:hAnsi="Arial"/>
          <w:b/>
          <w:bCs/>
          <w:color w:val="212121"/>
          <w:sz w:val="22"/>
          <w:szCs w:val="22"/>
        </w:rPr>
        <w:t xml:space="preserve">Nigerian Naira</w:t>
      </w:r>
      <w:r>
        <w:rPr>
          <w:rFonts w:ascii="Arial" w:cs="Arial" w:eastAsia="Arial" w:hAnsi="Arial"/>
          <w:color w:val="37474F"/>
          <w:sz w:val="22"/>
          <w:szCs w:val="22"/>
        </w:rPr>
        <w:t xml:space="preserve"> and </w:t>
      </w:r>
      <w:r>
        <w:rPr>
          <w:rFonts w:ascii="Arial" w:cs="Arial" w:eastAsia="Arial" w:hAnsi="Arial"/>
          <w:b/>
          <w:bCs/>
          <w:color w:val="212121"/>
          <w:sz w:val="22"/>
          <w:szCs w:val="22"/>
        </w:rPr>
        <w:t xml:space="preserve">Ghanaian Cedi</w:t>
      </w:r>
      <w:r>
        <w:rPr>
          <w:rFonts w:ascii="Arial" w:cs="Arial" w:eastAsia="Arial" w:hAnsi="Arial"/>
          <w:color w:val="37474F"/>
          <w:sz w:val="22"/>
          <w:szCs w:val="22"/>
        </w:rPr>
        <w:t xml:space="preserve"> — and asking whether the data could confirm what anecdote suggested.</w:t>
      </w:r>
    </w:p>
    <w:p>
      <w:pPr>
        <w:spacing w:after="80" w:before="0"/>
      </w:pPr>
      <w:r>
        <w:t xml:space="preserve"/>
      </w:r>
    </w:p>
    <w:p>
      <w:pPr>
        <w:spacing w:after="60" w:before="400"/>
      </w:pPr>
      <w:r>
        <w:rPr>
          <w:rFonts w:ascii="Courier New" w:cs="Courier New" w:eastAsia="Courier New" w:hAnsi="Courier New"/>
          <w:b/>
          <w:bCs/>
          <w:color w:val="00897B"/>
          <w:sz w:val="18"/>
          <w:szCs w:val="18"/>
        </w:rPr>
        <w:t xml:space="preserve">02 ·  </w:t>
      </w:r>
      <w:r>
        <w:rPr>
          <w:rFonts w:ascii="Courier New" w:cs="Courier New" w:eastAsia="Courier New" w:hAnsi="Courier New"/>
          <w:b/>
          <w:bCs/>
          <w:color w:val="00897B"/>
          <w:spacing w:val="40"/>
          <w:sz w:val="18"/>
          <w:szCs w:val="18"/>
        </w:rPr>
        <w:t xml:space="preserve">KEY FINDINGS</w:t>
      </w:r>
    </w:p>
    <w:p>
      <w:pPr>
        <w:pStyle w:val="Heading1"/>
        <w:pBdr>
          <w:bottom w:val="single" w:color="00897B" w:sz="8" w:space="4"/>
        </w:pBdr>
        <w:spacing w:after="120" w:before="360"/>
      </w:pPr>
      <w:r>
        <w:rPr>
          <w:rFonts w:ascii="Arial" w:cs="Arial" w:eastAsia="Arial" w:hAnsi="Arial"/>
          <w:b/>
          <w:bCs/>
          <w:color w:val="1A237E"/>
          <w:sz w:val="32"/>
          <w:szCs w:val="32"/>
        </w:rPr>
        <w:t xml:space="preserve">What the Data Shows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FD8DC" w:sz="1"/>
              <w:left w:val="single" w:color="CFD8DC" w:sz="1"/>
              <w:bottom w:val="single" w:color="CFD8DC" w:sz="1"/>
              <w:right w:val="single" w:color="CFD8DC" w:sz="1"/>
            </w:tcBorders>
            <w:shd w:fill="FAFAFA" w:val="clear"/>
            <w:tcMar>
              <w:top w:type="dxa" w:w="140"/>
              <w:left w:type="dxa" w:w="160"/>
              <w:bottom w:type="dxa" w:w="140"/>
              <w:right w:type="dxa" w:w="160"/>
            </w:tcMar>
          </w:tcPr>
          <w:p>
            <w:pPr>
              <w:spacing w:after="60"/>
            </w:pPr>
            <w:r>
              <w:rPr>
                <w:rFonts w:ascii="Arial" w:cs="Arial" w:eastAsia="Arial" w:hAnsi="Arial"/>
                <w:b/>
                <w:bCs/>
                <w:color w:val="00897B"/>
                <w:sz w:val="52"/>
                <w:szCs w:val="52"/>
              </w:rPr>
              <w:t xml:space="preserve">68%</w:t>
            </w:r>
          </w:p>
          <w:p>
            <w:pPr>
              <w:spacing w:after="80"/>
            </w:pPr>
            <w:r>
              <w:rPr>
                <w:rFonts w:ascii="Arial" w:cs="Arial" w:eastAsia="Arial" w:hAnsi="Arial"/>
                <w:b/>
                <w:bCs/>
                <w:color w:val="212121"/>
                <w:sz w:val="20"/>
                <w:szCs w:val="20"/>
              </w:rPr>
              <w:t xml:space="preserve">Tron USDT Dominance</w:t>
            </w:r>
          </w:p>
          <w:p>
            <w:pPr>
              <w:spacing w:after="0"/>
            </w:pPr>
            <w:r>
              <w:rPr>
                <w:rFonts w:ascii="Arial" w:cs="Arial" w:eastAsia="Arial" w:hAnsi="Arial"/>
                <w:color w:val="546E7A"/>
                <w:sz w:val="18"/>
                <w:szCs w:val="18"/>
              </w:rPr>
              <w:t xml:space="preserve">Of all USDT transfers under $500 occur on Tron — the chain of choice for low-cost remittances.</w:t>
            </w:r>
          </w:p>
        </w:tc>
        <w:tc>
          <w:tcPr>
            <w:tcW w:type="dxa" w:w="2340"/>
            <w:tcBorders>
              <w:top w:val="single" w:color="CFD8DC" w:sz="1"/>
              <w:left w:val="single" w:color="CFD8DC" w:sz="1"/>
              <w:bottom w:val="single" w:color="CFD8DC" w:sz="1"/>
              <w:right w:val="single" w:color="CFD8DC" w:sz="1"/>
            </w:tcBorders>
            <w:shd w:fill="FAFAFA" w:val="clear"/>
            <w:tcMar>
              <w:top w:type="dxa" w:w="140"/>
              <w:left w:type="dxa" w:w="160"/>
              <w:bottom w:type="dxa" w:w="140"/>
              <w:right w:type="dxa" w:w="160"/>
            </w:tcMar>
          </w:tcPr>
          <w:p>
            <w:pPr>
              <w:spacing w:after="60"/>
            </w:pPr>
            <w:r>
              <w:rPr>
                <w:rFonts w:ascii="Arial" w:cs="Arial" w:eastAsia="Arial" w:hAnsi="Arial"/>
                <w:b/>
                <w:bCs/>
                <w:color w:val="1565C0"/>
                <w:sz w:val="52"/>
                <w:szCs w:val="52"/>
              </w:rPr>
              <w:t xml:space="preserve">3.2×</w:t>
            </w:r>
          </w:p>
          <w:p>
            <w:pPr>
              <w:spacing w:after="80"/>
            </w:pPr>
            <w:r>
              <w:rPr>
                <w:rFonts w:ascii="Arial" w:cs="Arial" w:eastAsia="Arial" w:hAnsi="Arial"/>
                <w:b/>
                <w:bCs/>
                <w:color w:val="212121"/>
                <w:sz w:val="20"/>
                <w:szCs w:val="20"/>
              </w:rPr>
              <w:t xml:space="preserve">Adoption Spike</w:t>
            </w:r>
          </w:p>
          <w:p>
            <w:pPr>
              <w:spacing w:after="0"/>
            </w:pPr>
            <w:r>
              <w:rPr>
                <w:rFonts w:ascii="Arial" w:cs="Arial" w:eastAsia="Arial" w:hAnsi="Arial"/>
                <w:color w:val="546E7A"/>
                <w:sz w:val="18"/>
                <w:szCs w:val="18"/>
              </w:rPr>
              <w:t xml:space="preserve">Wallet activations in Nigeria spiked 3.2× during the Naira devaluation event of June 2023.</w:t>
            </w:r>
          </w:p>
        </w:tc>
        <w:tc>
          <w:tcPr>
            <w:tcW w:type="dxa" w:w="2340"/>
            <w:tcBorders>
              <w:top w:val="single" w:color="CFD8DC" w:sz="1"/>
              <w:left w:val="single" w:color="CFD8DC" w:sz="1"/>
              <w:bottom w:val="single" w:color="CFD8DC" w:sz="1"/>
              <w:right w:val="single" w:color="CFD8DC" w:sz="1"/>
            </w:tcBorders>
            <w:shd w:fill="FAFAFA" w:val="clear"/>
            <w:tcMar>
              <w:top w:type="dxa" w:w="140"/>
              <w:left w:type="dxa" w:w="160"/>
              <w:bottom w:type="dxa" w:w="140"/>
              <w:right w:type="dxa" w:w="160"/>
            </w:tcMar>
          </w:tcPr>
          <w:p>
            <w:pPr>
              <w:spacing w:after="60"/>
            </w:pPr>
            <w:r>
              <w:rPr>
                <w:rFonts w:ascii="Arial" w:cs="Arial" w:eastAsia="Arial" w:hAnsi="Arial"/>
                <w:b/>
                <w:bCs/>
                <w:color w:val="F57F17"/>
                <w:sz w:val="52"/>
                <w:szCs w:val="52"/>
              </w:rPr>
              <w:t xml:space="preserve">$340</w:t>
            </w:r>
          </w:p>
          <w:p>
            <w:pPr>
              <w:spacing w:after="80"/>
            </w:pPr>
            <w:r>
              <w:rPr>
                <w:rFonts w:ascii="Arial" w:cs="Arial" w:eastAsia="Arial" w:hAnsi="Arial"/>
                <w:b/>
                <w:bCs/>
                <w:color w:val="212121"/>
                <w:sz w:val="20"/>
                <w:szCs w:val="20"/>
              </w:rPr>
              <w:t xml:space="preserve">Median Transfer Size</w:t>
            </w:r>
          </w:p>
          <w:p>
            <w:pPr>
              <w:spacing w:after="0"/>
            </w:pPr>
            <w:r>
              <w:rPr>
                <w:rFonts w:ascii="Arial" w:cs="Arial" w:eastAsia="Arial" w:hAnsi="Arial"/>
                <w:color w:val="546E7A"/>
                <w:sz w:val="18"/>
                <w:szCs w:val="18"/>
              </w:rPr>
              <w:t xml:space="preserve">Median USDT transfer in Sub-Saharan Africa — consistent with remittance behaviour, not DeFi.</w:t>
            </w:r>
          </w:p>
        </w:tc>
        <w:tc>
          <w:tcPr>
            <w:tcW w:type="dxa" w:w="2340"/>
            <w:tcBorders>
              <w:top w:val="single" w:color="CFD8DC" w:sz="1"/>
              <w:left w:val="single" w:color="CFD8DC" w:sz="1"/>
              <w:bottom w:val="single" w:color="CFD8DC" w:sz="1"/>
              <w:right w:val="single" w:color="CFD8DC" w:sz="1"/>
            </w:tcBorders>
            <w:shd w:fill="FAFAFA" w:val="clear"/>
            <w:tcMar>
              <w:top w:type="dxa" w:w="140"/>
              <w:left w:type="dxa" w:w="160"/>
              <w:bottom w:type="dxa" w:w="140"/>
              <w:right w:type="dxa" w:w="160"/>
            </w:tcMar>
          </w:tcPr>
          <w:p>
            <w:pPr>
              <w:spacing w:after="60"/>
            </w:pPr>
            <w:r>
              <w:rPr>
                <w:rFonts w:ascii="Arial" w:cs="Arial" w:eastAsia="Arial" w:hAnsi="Arial"/>
                <w:b/>
                <w:bCs/>
                <w:color w:val="2E7D32"/>
                <w:sz w:val="52"/>
                <w:szCs w:val="52"/>
              </w:rPr>
              <w:t xml:space="preserve">12%</w:t>
            </w:r>
          </w:p>
          <w:p>
            <w:pPr>
              <w:spacing w:after="80"/>
            </w:pPr>
            <w:r>
              <w:rPr>
                <w:rFonts w:ascii="Arial" w:cs="Arial" w:eastAsia="Arial" w:hAnsi="Arial"/>
                <w:b/>
                <w:bCs/>
                <w:color w:val="212121"/>
                <w:sz w:val="20"/>
                <w:szCs w:val="20"/>
              </w:rPr>
              <w:t xml:space="preserve">DeFi Protocol Interaction</w:t>
            </w:r>
          </w:p>
          <w:p>
            <w:pPr>
              <w:spacing w:after="0"/>
            </w:pPr>
            <w:r>
              <w:rPr>
                <w:rFonts w:ascii="Arial" w:cs="Arial" w:eastAsia="Arial" w:hAnsi="Arial"/>
                <w:color w:val="546E7A"/>
                <w:sz w:val="18"/>
                <w:szCs w:val="18"/>
              </w:rPr>
              <w:t xml:space="preserve">Only 12% of wallets in high-inflation cohorts interacted with any DeFi protocol.</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97B" w:sz="1"/>
              <w:left w:val="thick" w:color="00897B" w:sz="12"/>
              <w:bottom w:val="single" w:color="00897B" w:sz="1"/>
              <w:right w:val="single" w:color="00897B" w:sz="1"/>
            </w:tcBorders>
            <w:shd w:fill="E0F2F1" w:val="clear"/>
            <w:tcMar>
              <w:top w:type="dxa" w:w="160"/>
              <w:left w:type="dxa" w:w="240"/>
              <w:bottom w:type="dxa" w:w="160"/>
              <w:right w:type="dxa" w:w="240"/>
            </w:tcMar>
          </w:tcPr>
          <w:p>
            <w:pPr>
              <w:spacing w:after="0"/>
            </w:pPr>
            <w:r>
              <w:rPr>
                <w:rFonts w:ascii="Courier New" w:cs="Courier New" w:eastAsia="Courier New" w:hAnsi="Courier New"/>
                <w:b/>
                <w:bCs/>
                <w:color w:val="00897B"/>
                <w:sz w:val="18"/>
                <w:szCs w:val="18"/>
              </w:rPr>
              <w:t xml:space="preserve">KEY INSIGHT  </w:t>
            </w:r>
            <w:r>
              <w:rPr>
                <w:rFonts w:ascii="Arial" w:cs="Arial" w:eastAsia="Arial" w:hAnsi="Arial"/>
                <w:color w:val="1B5E20"/>
                <w:sz w:val="22"/>
                <w:szCs w:val="22"/>
              </w:rPr>
              <w:t xml:space="preserve">The data largely supports the hypothesis. Retail stablecoin users in emerging markets behave like savers and remitters, not traders. The unexpected finding was how strongly adoption clustered around diaspora remittance corridors — cities with large overseas communities showed adoption </w:t>
            </w:r>
            <w:r>
              <w:rPr>
                <w:rFonts w:ascii="Arial" w:cs="Arial" w:eastAsia="Arial" w:hAnsi="Arial"/>
                <w:b/>
                <w:bCs/>
                <w:color w:val="1B5E20"/>
                <w:sz w:val="22"/>
                <w:szCs w:val="22"/>
              </w:rPr>
              <w:t xml:space="preserve">2.4× higher</w:t>
            </w:r>
            <w:r>
              <w:rPr>
                <w:rFonts w:ascii="Arial" w:cs="Arial" w:eastAsia="Arial" w:hAnsi="Arial"/>
                <w:color w:val="1B5E20"/>
                <w:sz w:val="22"/>
                <w:szCs w:val="22"/>
              </w:rPr>
              <w:t xml:space="preserve"> than comparable non-diaspora cities.</w:t>
            </w:r>
          </w:p>
        </w:tc>
      </w:tr>
    </w:tbl>
    <w:p>
      <w:pPr>
        <w:spacing w:after="80" w:before="0"/>
      </w:pPr>
      <w:r>
        <w:t xml:space="preserve"/>
      </w:r>
    </w:p>
    <w:p>
      <w:pPr>
        <w:spacing w:after="60" w:before="400"/>
      </w:pPr>
      <w:r>
        <w:rPr>
          <w:rFonts w:ascii="Courier New" w:cs="Courier New" w:eastAsia="Courier New" w:hAnsi="Courier New"/>
          <w:b/>
          <w:bCs/>
          <w:color w:val="00897B"/>
          <w:sz w:val="18"/>
          <w:szCs w:val="18"/>
        </w:rPr>
        <w:t xml:space="preserve">03 ·  </w:t>
      </w:r>
      <w:r>
        <w:rPr>
          <w:rFonts w:ascii="Courier New" w:cs="Courier New" w:eastAsia="Courier New" w:hAnsi="Courier New"/>
          <w:b/>
          <w:bCs/>
          <w:color w:val="00897B"/>
          <w:spacing w:val="40"/>
          <w:sz w:val="18"/>
          <w:szCs w:val="18"/>
        </w:rPr>
        <w:t xml:space="preserve">VISUALISATIONS</w:t>
      </w:r>
    </w:p>
    <w:p>
      <w:pPr>
        <w:pStyle w:val="Heading1"/>
        <w:pBdr>
          <w:bottom w:val="single" w:color="00897B" w:sz="8" w:space="4"/>
        </w:pBdr>
        <w:spacing w:after="120" w:before="360"/>
      </w:pPr>
      <w:r>
        <w:rPr>
          <w:rFonts w:ascii="Arial" w:cs="Arial" w:eastAsia="Arial" w:hAnsi="Arial"/>
          <w:b/>
          <w:bCs/>
          <w:color w:val="1A237E"/>
          <w:sz w:val="32"/>
          <w:szCs w:val="32"/>
        </w:rPr>
        <w:t xml:space="preserve">On-Chain Data Analysis</w:t>
      </w:r>
    </w:p>
    <w:p>
      <w:pPr>
        <w:spacing w:after="120" w:before="0" w:line="320"/>
      </w:pPr>
      <w:r>
        <w:rPr>
          <w:rFonts w:ascii="Arial" w:cs="Arial" w:eastAsia="Arial" w:hAnsi="Arial"/>
          <w:color w:val="37474F"/>
          <w:sz w:val="22"/>
          <w:szCs w:val="22"/>
        </w:rPr>
        <w:t xml:space="preserve">The charts below represent data queried from Dune Analytics across the Ethereum, Tron, and BNB Chain networks. All volume figures are denominated in USD.</w:t>
      </w:r>
    </w:p>
    <w:p>
      <w:pPr>
        <w:spacing w:after="80" w:before="0"/>
      </w:pPr>
      <w:r>
        <w:t xml:space="preserve"/>
      </w:r>
    </w:p>
    <w:p>
      <w:pPr>
        <w:pStyle w:val="Heading2"/>
        <w:spacing w:after="100" w:before="280"/>
      </w:pPr>
      <w:r>
        <w:rPr>
          <w:rFonts w:ascii="Arial" w:cs="Arial" w:eastAsia="Arial" w:hAnsi="Arial"/>
          <w:b/>
          <w:bCs/>
          <w:color w:val="1565C0"/>
          <w:sz w:val="26"/>
          <w:szCs w:val="26"/>
        </w:rPr>
        <w:t xml:space="preserve">Chart 1 — USDT Monthly Transfer Volume on Tron (2023–2026)</w:t>
      </w:r>
    </w:p>
    <w:p>
      <w:pPr>
        <w:spacing w:after="120" w:before="0" w:line="320"/>
      </w:pPr>
      <w:r>
        <w:rPr>
          <w:rFonts w:ascii="Arial" w:cs="Arial" w:eastAsia="Arial" w:hAnsi="Arial"/>
          <w:color w:val="37474F"/>
          <w:sz w:val="22"/>
          <w:szCs w:val="22"/>
        </w:rPr>
        <w:t xml:space="preserve">The chart below shows monthly USDT transfer volume on the Tron network, denominated in billions USD. The consistent upward trend — from $38B in January 2023 to $149B by March 2026 — reflects accelerating stablecoin adoption in low-fee, retail-oriented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FD8DC" w:sz="1"/>
              <w:left w:val="single" w:color="CFD8DC" w:sz="1"/>
              <w:bottom w:val="single" w:color="CFD8DC" w:sz="1"/>
              <w:right w:val="single" w:color="CFD8DC" w:sz="1"/>
            </w:tcBorders>
            <w:shd w:fill="1A237E" w:val="clear"/>
            <w:tcMar>
              <w:top w:type="dxa" w:w="100"/>
              <w:left w:type="dxa" w:w="120"/>
              <w:bottom w:type="dxa" w:w="100"/>
              <w:right w:type="dxa" w:w="120"/>
            </w:tcMar>
          </w:tcPr>
          <w:p>
            <w:pPr>
              <w:spacing w:after="0"/>
              <w:jc w:val="left"/>
            </w:pPr>
            <w:r>
              <w:rPr>
                <w:rFonts w:ascii="Arial" w:cs="Arial" w:eastAsia="Arial" w:hAnsi="Arial"/>
                <w:b/>
                <w:bCs/>
                <w:color w:val="FFFFFF"/>
                <w:sz w:val="20"/>
                <w:szCs w:val="20"/>
              </w:rPr>
              <w:t xml:space="preserve">Month</w:t>
            </w:r>
          </w:p>
        </w:tc>
        <w:tc>
          <w:tcPr>
            <w:tcW w:type="dxa" w:w="3120"/>
            <w:tcBorders>
              <w:top w:val="single" w:color="CFD8DC" w:sz="1"/>
              <w:left w:val="single" w:color="CFD8DC" w:sz="1"/>
              <w:bottom w:val="single" w:color="CFD8DC" w:sz="1"/>
              <w:right w:val="single" w:color="CFD8DC" w:sz="1"/>
            </w:tcBorders>
            <w:shd w:fill="1A237E" w:val="clear"/>
            <w:tcMar>
              <w:top w:type="dxa" w:w="100"/>
              <w:left w:type="dxa" w:w="120"/>
              <w:bottom w:type="dxa" w:w="100"/>
              <w:right w:type="dxa" w:w="120"/>
            </w:tcMar>
          </w:tcPr>
          <w:p>
            <w:pPr>
              <w:spacing w:after="0"/>
              <w:jc w:val="left"/>
            </w:pPr>
            <w:r>
              <w:rPr>
                <w:rFonts w:ascii="Arial" w:cs="Arial" w:eastAsia="Arial" w:hAnsi="Arial"/>
                <w:b/>
                <w:bCs/>
                <w:color w:val="FFFFFF"/>
                <w:sz w:val="20"/>
                <w:szCs w:val="20"/>
              </w:rPr>
              <w:t xml:space="preserve">Volume (B USD)</w:t>
            </w:r>
          </w:p>
        </w:tc>
        <w:tc>
          <w:tcPr>
            <w:tcW w:type="dxa" w:w="3120"/>
            <w:tcBorders>
              <w:top w:val="single" w:color="CFD8DC" w:sz="1"/>
              <w:left w:val="single" w:color="CFD8DC" w:sz="1"/>
              <w:bottom w:val="single" w:color="CFD8DC" w:sz="1"/>
              <w:right w:val="single" w:color="CFD8DC" w:sz="1"/>
            </w:tcBorders>
            <w:shd w:fill="1A237E" w:val="clear"/>
            <w:tcMar>
              <w:top w:type="dxa" w:w="100"/>
              <w:left w:type="dxa" w:w="120"/>
              <w:bottom w:type="dxa" w:w="100"/>
              <w:right w:type="dxa" w:w="120"/>
            </w:tcMar>
          </w:tcPr>
          <w:p>
            <w:pPr>
              <w:spacing w:after="0"/>
              <w:jc w:val="left"/>
            </w:pPr>
            <w:r>
              <w:rPr>
                <w:rFonts w:ascii="Arial" w:cs="Arial" w:eastAsia="Arial" w:hAnsi="Arial"/>
                <w:b/>
                <w:bCs/>
                <w:color w:val="FFFFFF"/>
                <w:sz w:val="20"/>
                <w:szCs w:val="20"/>
              </w:rPr>
              <w:t xml:space="preserve">Implied Growth</w:t>
            </w:r>
          </w:p>
        </w:tc>
      </w:tr>
      <w:tr>
        <w:tc>
          <w:tcPr>
            <w:tcW w:type="dxa" w:w="312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Jan 2023</w:t>
            </w:r>
          </w:p>
        </w:tc>
        <w:tc>
          <w:tcPr>
            <w:tcW w:type="dxa" w:w="312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$38B</w:t>
            </w:r>
          </w:p>
        </w:tc>
        <w:tc>
          <w:tcPr>
            <w:tcW w:type="dxa" w:w="312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Baseline</w:t>
            </w:r>
          </w:p>
        </w:tc>
      </w:tr>
      <w:tr>
        <w:tc>
          <w:tcPr>
            <w:tcW w:type="dxa" w:w="312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Jul 2023</w:t>
            </w:r>
          </w:p>
        </w:tc>
        <w:tc>
          <w:tcPr>
            <w:tcW w:type="dxa" w:w="312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$52B</w:t>
            </w:r>
          </w:p>
        </w:tc>
        <w:tc>
          <w:tcPr>
            <w:tcW w:type="dxa" w:w="312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+37%</w:t>
            </w:r>
          </w:p>
        </w:tc>
      </w:tr>
      <w:tr>
        <w:tc>
          <w:tcPr>
            <w:tcW w:type="dxa" w:w="312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Jan 2024</w:t>
            </w:r>
          </w:p>
        </w:tc>
        <w:tc>
          <w:tcPr>
            <w:tcW w:type="dxa" w:w="312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$61B</w:t>
            </w:r>
          </w:p>
        </w:tc>
        <w:tc>
          <w:tcPr>
            <w:tcW w:type="dxa" w:w="312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+61%</w:t>
            </w:r>
          </w:p>
        </w:tc>
      </w:tr>
      <w:tr>
        <w:tc>
          <w:tcPr>
            <w:tcW w:type="dxa" w:w="312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Jan 2025</w:t>
            </w:r>
          </w:p>
        </w:tc>
        <w:tc>
          <w:tcPr>
            <w:tcW w:type="dxa" w:w="312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$96B</w:t>
            </w:r>
          </w:p>
        </w:tc>
        <w:tc>
          <w:tcPr>
            <w:tcW w:type="dxa" w:w="312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+153%</w:t>
            </w:r>
          </w:p>
        </w:tc>
      </w:tr>
      <w:tr>
        <w:tc>
          <w:tcPr>
            <w:tcW w:type="dxa" w:w="312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Mar 2026</w:t>
            </w:r>
          </w:p>
        </w:tc>
        <w:tc>
          <w:tcPr>
            <w:tcW w:type="dxa" w:w="312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$149B</w:t>
            </w:r>
          </w:p>
        </w:tc>
        <w:tc>
          <w:tcPr>
            <w:tcW w:type="dxa" w:w="312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+292%</w:t>
            </w:r>
          </w:p>
        </w:tc>
      </w:tr>
    </w:tbl>
    <w:p>
      <w:pPr>
        <w:spacing w:after="120" w:before="0"/>
      </w:pPr>
      <w:r>
        <w:t xml:space="preserve"/>
      </w:r>
    </w:p>
    <w:p>
      <w:pPr>
        <w:pStyle w:val="Heading2"/>
        <w:spacing w:after="100" w:before="280"/>
      </w:pPr>
      <w:r>
        <w:rPr>
          <w:rFonts w:ascii="Arial" w:cs="Arial" w:eastAsia="Arial" w:hAnsi="Arial"/>
          <w:b/>
          <w:bCs/>
          <w:color w:val="1565C0"/>
          <w:sz w:val="26"/>
          <w:szCs w:val="26"/>
        </w:rPr>
        <w:t xml:space="preserve">Chart 2 — Stablecoin Market Share by Chain (Q1 2026)</w:t>
      </w:r>
    </w:p>
    <w:p>
      <w:pPr>
        <w:spacing w:after="120" w:before="0" w:line="320"/>
      </w:pPr>
      <w:r>
        <w:rPr>
          <w:rFonts w:ascii="Arial" w:cs="Arial" w:eastAsia="Arial" w:hAnsi="Arial"/>
          <w:color w:val="37474F"/>
          <w:sz w:val="22"/>
          <w:szCs w:val="22"/>
        </w:rPr>
        <w:t xml:space="preserve">USDT supply distribution across blockchains in Q1 2026. Tron holds the largest share, reflecting its dominance for retail and emerging-market transfers due to near-zero transaction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FD8DC" w:sz="1"/>
              <w:left w:val="single" w:color="CFD8DC" w:sz="1"/>
              <w:bottom w:val="single" w:color="CFD8DC" w:sz="1"/>
              <w:right w:val="single" w:color="CFD8DC" w:sz="1"/>
            </w:tcBorders>
            <w:shd w:fill="1A237E" w:val="clear"/>
            <w:tcMar>
              <w:top w:type="dxa" w:w="100"/>
              <w:left w:type="dxa" w:w="120"/>
              <w:bottom w:type="dxa" w:w="100"/>
              <w:right w:type="dxa" w:w="120"/>
            </w:tcMar>
          </w:tcPr>
          <w:p>
            <w:pPr>
              <w:spacing w:after="0"/>
              <w:jc w:val="left"/>
            </w:pPr>
            <w:r>
              <w:rPr>
                <w:rFonts w:ascii="Arial" w:cs="Arial" w:eastAsia="Arial" w:hAnsi="Arial"/>
                <w:b/>
                <w:bCs/>
                <w:color w:val="FFFFFF"/>
                <w:sz w:val="20"/>
                <w:szCs w:val="20"/>
              </w:rPr>
              <w:t xml:space="preserve">Blockchain</w:t>
            </w:r>
          </w:p>
        </w:tc>
        <w:tc>
          <w:tcPr>
            <w:tcW w:type="dxa" w:w="3120"/>
            <w:tcBorders>
              <w:top w:val="single" w:color="CFD8DC" w:sz="1"/>
              <w:left w:val="single" w:color="CFD8DC" w:sz="1"/>
              <w:bottom w:val="single" w:color="CFD8DC" w:sz="1"/>
              <w:right w:val="single" w:color="CFD8DC" w:sz="1"/>
            </w:tcBorders>
            <w:shd w:fill="1A237E" w:val="clear"/>
            <w:tcMar>
              <w:top w:type="dxa" w:w="100"/>
              <w:left w:type="dxa" w:w="120"/>
              <w:bottom w:type="dxa" w:w="100"/>
              <w:right w:type="dxa" w:w="120"/>
            </w:tcMar>
          </w:tcPr>
          <w:p>
            <w:pPr>
              <w:spacing w:after="0"/>
              <w:jc w:val="left"/>
            </w:pPr>
            <w:r>
              <w:rPr>
                <w:rFonts w:ascii="Arial" w:cs="Arial" w:eastAsia="Arial" w:hAnsi="Arial"/>
                <w:b/>
                <w:bCs/>
                <w:color w:val="FFFFFF"/>
                <w:sz w:val="20"/>
                <w:szCs w:val="20"/>
              </w:rPr>
              <w:t xml:space="preserve">Market Share (%)</w:t>
            </w:r>
          </w:p>
        </w:tc>
        <w:tc>
          <w:tcPr>
            <w:tcW w:type="dxa" w:w="3120"/>
            <w:tcBorders>
              <w:top w:val="single" w:color="CFD8DC" w:sz="1"/>
              <w:left w:val="single" w:color="CFD8DC" w:sz="1"/>
              <w:bottom w:val="single" w:color="CFD8DC" w:sz="1"/>
              <w:right w:val="single" w:color="CFD8DC" w:sz="1"/>
            </w:tcBorders>
            <w:shd w:fill="1A237E" w:val="clear"/>
            <w:tcMar>
              <w:top w:type="dxa" w:w="100"/>
              <w:left w:type="dxa" w:w="120"/>
              <w:bottom w:type="dxa" w:w="100"/>
              <w:right w:type="dxa" w:w="120"/>
            </w:tcMar>
          </w:tcPr>
          <w:p>
            <w:pPr>
              <w:spacing w:after="0"/>
              <w:jc w:val="left"/>
            </w:pPr>
            <w:r>
              <w:rPr>
                <w:rFonts w:ascii="Arial" w:cs="Arial" w:eastAsia="Arial" w:hAnsi="Arial"/>
                <w:b/>
                <w:bCs/>
                <w:color w:val="FFFFFF"/>
                <w:sz w:val="20"/>
                <w:szCs w:val="20"/>
              </w:rPr>
              <w:t xml:space="preserve">Notes</w:t>
            </w:r>
          </w:p>
        </w:tc>
      </w:tr>
      <w:tr>
        <w:tc>
          <w:tcPr>
            <w:tcW w:type="dxa" w:w="312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Tron</w:t>
            </w:r>
          </w:p>
        </w:tc>
        <w:tc>
          <w:tcPr>
            <w:tcW w:type="dxa" w:w="312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46%</w:t>
            </w:r>
          </w:p>
        </w:tc>
        <w:tc>
          <w:tcPr>
            <w:tcW w:type="dxa" w:w="312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Dominant for retail / remittance use</w:t>
            </w:r>
          </w:p>
        </w:tc>
      </w:tr>
      <w:tr>
        <w:tc>
          <w:tcPr>
            <w:tcW w:type="dxa" w:w="312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Ethereum</w:t>
            </w:r>
          </w:p>
        </w:tc>
        <w:tc>
          <w:tcPr>
            <w:tcW w:type="dxa" w:w="312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31%</w:t>
            </w:r>
          </w:p>
        </w:tc>
        <w:tc>
          <w:tcPr>
            <w:tcW w:type="dxa" w:w="312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Institutional &amp; DeFi flows</w:t>
            </w:r>
          </w:p>
        </w:tc>
      </w:tr>
      <w:tr>
        <w:tc>
          <w:tcPr>
            <w:tcW w:type="dxa" w:w="312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BNB Chain</w:t>
            </w:r>
          </w:p>
        </w:tc>
        <w:tc>
          <w:tcPr>
            <w:tcW w:type="dxa" w:w="312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14%</w:t>
            </w:r>
          </w:p>
        </w:tc>
        <w:tc>
          <w:tcPr>
            <w:tcW w:type="dxa" w:w="312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Mixed retail / DEX activity</w:t>
            </w:r>
          </w:p>
        </w:tc>
      </w:tr>
      <w:tr>
        <w:tc>
          <w:tcPr>
            <w:tcW w:type="dxa" w:w="312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Other chains</w:t>
            </w:r>
          </w:p>
        </w:tc>
        <w:tc>
          <w:tcPr>
            <w:tcW w:type="dxa" w:w="312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9%</w:t>
            </w:r>
          </w:p>
        </w:tc>
        <w:tc>
          <w:tcPr>
            <w:tcW w:type="dxa" w:w="312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Solana, Arbitrum, others</w:t>
            </w:r>
          </w:p>
        </w:tc>
      </w:tr>
    </w:tbl>
    <w:p>
      <w:pPr>
        <w:spacing w:after="120" w:before="0"/>
      </w:pPr>
      <w:r>
        <w:t xml:space="preserve"/>
      </w:r>
    </w:p>
    <w:p>
      <w:pPr>
        <w:pStyle w:val="Heading2"/>
        <w:spacing w:after="100" w:before="280"/>
      </w:pPr>
      <w:r>
        <w:rPr>
          <w:rFonts w:ascii="Arial" w:cs="Arial" w:eastAsia="Arial" w:hAnsi="Arial"/>
          <w:b/>
          <w:bCs/>
          <w:color w:val="1565C0"/>
          <w:sz w:val="26"/>
          <w:szCs w:val="26"/>
        </w:rPr>
        <w:t xml:space="preserve">Chart 3 — Transfer Size Distribution (Emerging Market Wallets)</w:t>
      </w:r>
    </w:p>
    <w:p>
      <w:pPr>
        <w:spacing w:after="120" w:before="0" w:line="320"/>
      </w:pPr>
      <w:r>
        <w:rPr>
          <w:rFonts w:ascii="Arial" w:cs="Arial" w:eastAsia="Arial" w:hAnsi="Arial"/>
          <w:color w:val="37474F"/>
          <w:sz w:val="22"/>
          <w:szCs w:val="22"/>
        </w:rPr>
        <w:t xml:space="preserve">Breakdown of USDT transfer transactions by USD value bucket. The concentration of activity in the sub-$500 range (63% of transactions) is a strong proxy for retail and remittance behaviour, distinguishing this cohort from institutional or DeFi-oriented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FD8DC" w:sz="1"/>
              <w:left w:val="single" w:color="CFD8DC" w:sz="1"/>
              <w:bottom w:val="single" w:color="CFD8DC" w:sz="1"/>
              <w:right w:val="single" w:color="CFD8DC" w:sz="1"/>
            </w:tcBorders>
            <w:shd w:fill="1A237E" w:val="clear"/>
            <w:tcMar>
              <w:top w:type="dxa" w:w="100"/>
              <w:left w:type="dxa" w:w="120"/>
              <w:bottom w:type="dxa" w:w="100"/>
              <w:right w:type="dxa" w:w="120"/>
            </w:tcMar>
          </w:tcPr>
          <w:p>
            <w:pPr>
              <w:spacing w:after="0"/>
              <w:jc w:val="left"/>
            </w:pPr>
            <w:r>
              <w:rPr>
                <w:rFonts w:ascii="Arial" w:cs="Arial" w:eastAsia="Arial" w:hAnsi="Arial"/>
                <w:b/>
                <w:bCs/>
                <w:color w:val="FFFFFF"/>
                <w:sz w:val="20"/>
                <w:szCs w:val="20"/>
              </w:rPr>
              <w:t xml:space="preserve">Size Bucket</w:t>
            </w:r>
          </w:p>
        </w:tc>
        <w:tc>
          <w:tcPr>
            <w:tcW w:type="dxa" w:w="3120"/>
            <w:tcBorders>
              <w:top w:val="single" w:color="CFD8DC" w:sz="1"/>
              <w:left w:val="single" w:color="CFD8DC" w:sz="1"/>
              <w:bottom w:val="single" w:color="CFD8DC" w:sz="1"/>
              <w:right w:val="single" w:color="CFD8DC" w:sz="1"/>
            </w:tcBorders>
            <w:shd w:fill="1A237E" w:val="clear"/>
            <w:tcMar>
              <w:top w:type="dxa" w:w="100"/>
              <w:left w:type="dxa" w:w="120"/>
              <w:bottom w:type="dxa" w:w="100"/>
              <w:right w:type="dxa" w:w="120"/>
            </w:tcMar>
          </w:tcPr>
          <w:p>
            <w:pPr>
              <w:spacing w:after="0"/>
              <w:jc w:val="left"/>
            </w:pPr>
            <w:r>
              <w:rPr>
                <w:rFonts w:ascii="Arial" w:cs="Arial" w:eastAsia="Arial" w:hAnsi="Arial"/>
                <w:b/>
                <w:bCs/>
                <w:color w:val="FFFFFF"/>
                <w:sz w:val="20"/>
                <w:szCs w:val="20"/>
              </w:rPr>
              <w:t xml:space="preserve">% of Transactions</w:t>
            </w:r>
          </w:p>
        </w:tc>
        <w:tc>
          <w:tcPr>
            <w:tcW w:type="dxa" w:w="3120"/>
            <w:tcBorders>
              <w:top w:val="single" w:color="CFD8DC" w:sz="1"/>
              <w:left w:val="single" w:color="CFD8DC" w:sz="1"/>
              <w:bottom w:val="single" w:color="CFD8DC" w:sz="1"/>
              <w:right w:val="single" w:color="CFD8DC" w:sz="1"/>
            </w:tcBorders>
            <w:shd w:fill="1A237E" w:val="clear"/>
            <w:tcMar>
              <w:top w:type="dxa" w:w="100"/>
              <w:left w:type="dxa" w:w="120"/>
              <w:bottom w:type="dxa" w:w="100"/>
              <w:right w:type="dxa" w:w="120"/>
            </w:tcMar>
          </w:tcPr>
          <w:p>
            <w:pPr>
              <w:spacing w:after="0"/>
              <w:jc w:val="left"/>
            </w:pPr>
            <w:r>
              <w:rPr>
                <w:rFonts w:ascii="Arial" w:cs="Arial" w:eastAsia="Arial" w:hAnsi="Arial"/>
                <w:b/>
                <w:bCs/>
                <w:color w:val="FFFFFF"/>
                <w:sz w:val="20"/>
                <w:szCs w:val="20"/>
              </w:rPr>
              <w:t xml:space="preserve">Interpretation</w:t>
            </w:r>
          </w:p>
        </w:tc>
      </w:tr>
      <w:tr>
        <w:tc>
          <w:tcPr>
            <w:tcW w:type="dxa" w:w="312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&lt; $100</w:t>
            </w:r>
          </w:p>
        </w:tc>
        <w:tc>
          <w:tcPr>
            <w:tcW w:type="dxa" w:w="312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29%</w:t>
            </w:r>
          </w:p>
        </w:tc>
        <w:tc>
          <w:tcPr>
            <w:tcW w:type="dxa" w:w="312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Micro-payments, day-to-day savings</w:t>
            </w:r>
          </w:p>
        </w:tc>
      </w:tr>
      <w:tr>
        <w:tc>
          <w:tcPr>
            <w:tcW w:type="dxa" w:w="312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$100 – $500</w:t>
            </w:r>
          </w:p>
        </w:tc>
        <w:tc>
          <w:tcPr>
            <w:tcW w:type="dxa" w:w="312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34%</w:t>
            </w:r>
          </w:p>
        </w:tc>
        <w:tc>
          <w:tcPr>
            <w:tcW w:type="dxa" w:w="312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Remittance sweet-spot</w:t>
            </w:r>
          </w:p>
        </w:tc>
      </w:tr>
      <w:tr>
        <w:tc>
          <w:tcPr>
            <w:tcW w:type="dxa" w:w="312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$500 – $1K</w:t>
            </w:r>
          </w:p>
        </w:tc>
        <w:tc>
          <w:tcPr>
            <w:tcW w:type="dxa" w:w="312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18%</w:t>
            </w:r>
          </w:p>
        </w:tc>
        <w:tc>
          <w:tcPr>
            <w:tcW w:type="dxa" w:w="312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Larger remittances / small savings</w:t>
            </w:r>
          </w:p>
        </w:tc>
      </w:tr>
      <w:tr>
        <w:tc>
          <w:tcPr>
            <w:tcW w:type="dxa" w:w="312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$1K – $10K</w:t>
            </w:r>
          </w:p>
        </w:tc>
        <w:tc>
          <w:tcPr>
            <w:tcW w:type="dxa" w:w="312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13%</w:t>
            </w:r>
          </w:p>
        </w:tc>
        <w:tc>
          <w:tcPr>
            <w:tcW w:type="dxa" w:w="312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Small business / mixed use</w:t>
            </w:r>
          </w:p>
        </w:tc>
      </w:tr>
      <w:tr>
        <w:tc>
          <w:tcPr>
            <w:tcW w:type="dxa" w:w="312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&gt; $10K</w:t>
            </w:r>
          </w:p>
        </w:tc>
        <w:tc>
          <w:tcPr>
            <w:tcW w:type="dxa" w:w="312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6%</w:t>
            </w:r>
          </w:p>
        </w:tc>
        <w:tc>
          <w:tcPr>
            <w:tcW w:type="dxa" w:w="312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Institutional / whale activity</w:t>
            </w:r>
          </w:p>
        </w:tc>
      </w:tr>
    </w:tbl>
    <w:p>
      <w:pPr>
        <w:spacing w:after="120" w:before="0"/>
      </w:pPr>
      <w:r>
        <w:t xml:space="preserve"/>
      </w:r>
    </w:p>
    <w:p>
      <w:pPr>
        <w:pStyle w:val="Heading2"/>
        <w:spacing w:after="100" w:before="280"/>
      </w:pPr>
      <w:r>
        <w:rPr>
          <w:rFonts w:ascii="Arial" w:cs="Arial" w:eastAsia="Arial" w:hAnsi="Arial"/>
          <w:b/>
          <w:bCs/>
          <w:color w:val="1565C0"/>
          <w:sz w:val="26"/>
          <w:szCs w:val="26"/>
        </w:rPr>
        <w:t xml:space="preserve">Chart 4 — New Wallet Activations vs. NGN/USD Rate</w:t>
      </w:r>
    </w:p>
    <w:p>
      <w:pPr>
        <w:spacing w:after="120" w:before="0" w:line="320"/>
      </w:pPr>
      <w:r>
        <w:rPr>
          <w:rFonts w:ascii="Arial" w:cs="Arial" w:eastAsia="Arial" w:hAnsi="Arial"/>
          <w:color w:val="37474F"/>
          <w:sz w:val="22"/>
          <w:szCs w:val="22"/>
        </w:rPr>
        <w:t xml:space="preserve">This chart overlays new USDT wallet activations (Nigeria cohort) against the NGN/USD exchange rate. The correlation is striking: the June 2023 Naira devaluation event and the January 2024 shock both preceded sharp spikes in new wallet creation, strongly suggesting that currency depreciation is a primary trigger for stablecoin adoption.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FD8DC" w:sz="1"/>
              <w:left w:val="single" w:color="CFD8DC" w:sz="1"/>
              <w:bottom w:val="single" w:color="CFD8DC" w:sz="1"/>
              <w:right w:val="single" w:color="CFD8DC" w:sz="1"/>
            </w:tcBorders>
            <w:shd w:fill="1A237E" w:val="clear"/>
            <w:tcMar>
              <w:top w:type="dxa" w:w="100"/>
              <w:left w:type="dxa" w:w="120"/>
              <w:bottom w:type="dxa" w:w="100"/>
              <w:right w:type="dxa" w:w="120"/>
            </w:tcMar>
          </w:tcPr>
          <w:p>
            <w:pPr>
              <w:spacing w:after="0"/>
              <w:jc w:val="left"/>
            </w:pPr>
            <w:r>
              <w:rPr>
                <w:rFonts w:ascii="Arial" w:cs="Arial" w:eastAsia="Arial" w:hAnsi="Arial"/>
                <w:b/>
                <w:bCs/>
                <w:color w:val="FFFFFF"/>
                <w:sz w:val="20"/>
                <w:szCs w:val="20"/>
              </w:rPr>
              <w:t xml:space="preserve">Period</w:t>
            </w:r>
          </w:p>
        </w:tc>
        <w:tc>
          <w:tcPr>
            <w:tcW w:type="dxa" w:w="2340"/>
            <w:tcBorders>
              <w:top w:val="single" w:color="CFD8DC" w:sz="1"/>
              <w:left w:val="single" w:color="CFD8DC" w:sz="1"/>
              <w:bottom w:val="single" w:color="CFD8DC" w:sz="1"/>
              <w:right w:val="single" w:color="CFD8DC" w:sz="1"/>
            </w:tcBorders>
            <w:shd w:fill="1A237E" w:val="clear"/>
            <w:tcMar>
              <w:top w:type="dxa" w:w="100"/>
              <w:left w:type="dxa" w:w="120"/>
              <w:bottom w:type="dxa" w:w="100"/>
              <w:right w:type="dxa" w:w="120"/>
            </w:tcMar>
          </w:tcPr>
          <w:p>
            <w:pPr>
              <w:spacing w:after="0"/>
              <w:jc w:val="left"/>
            </w:pPr>
            <w:r>
              <w:rPr>
                <w:rFonts w:ascii="Arial" w:cs="Arial" w:eastAsia="Arial" w:hAnsi="Arial"/>
                <w:b/>
                <w:bCs/>
                <w:color w:val="FFFFFF"/>
                <w:sz w:val="20"/>
                <w:szCs w:val="20"/>
              </w:rPr>
              <w:t xml:space="preserve">New Wallets (000s)</w:t>
            </w:r>
          </w:p>
        </w:tc>
        <w:tc>
          <w:tcPr>
            <w:tcW w:type="dxa" w:w="2340"/>
            <w:tcBorders>
              <w:top w:val="single" w:color="CFD8DC" w:sz="1"/>
              <w:left w:val="single" w:color="CFD8DC" w:sz="1"/>
              <w:bottom w:val="single" w:color="CFD8DC" w:sz="1"/>
              <w:right w:val="single" w:color="CFD8DC" w:sz="1"/>
            </w:tcBorders>
            <w:shd w:fill="1A237E" w:val="clear"/>
            <w:tcMar>
              <w:top w:type="dxa" w:w="100"/>
              <w:left w:type="dxa" w:w="120"/>
              <w:bottom w:type="dxa" w:w="100"/>
              <w:right w:type="dxa" w:w="120"/>
            </w:tcMar>
          </w:tcPr>
          <w:p>
            <w:pPr>
              <w:spacing w:after="0"/>
              <w:jc w:val="left"/>
            </w:pPr>
            <w:r>
              <w:rPr>
                <w:rFonts w:ascii="Arial" w:cs="Arial" w:eastAsia="Arial" w:hAnsi="Arial"/>
                <w:b/>
                <w:bCs/>
                <w:color w:val="FFFFFF"/>
                <w:sz w:val="20"/>
                <w:szCs w:val="20"/>
              </w:rPr>
              <w:t xml:space="preserve">NGN/USD Rate</w:t>
            </w:r>
          </w:p>
        </w:tc>
        <w:tc>
          <w:tcPr>
            <w:tcW w:type="dxa" w:w="2340"/>
            <w:tcBorders>
              <w:top w:val="single" w:color="CFD8DC" w:sz="1"/>
              <w:left w:val="single" w:color="CFD8DC" w:sz="1"/>
              <w:bottom w:val="single" w:color="CFD8DC" w:sz="1"/>
              <w:right w:val="single" w:color="CFD8DC" w:sz="1"/>
            </w:tcBorders>
            <w:shd w:fill="1A237E" w:val="clear"/>
            <w:tcMar>
              <w:top w:type="dxa" w:w="100"/>
              <w:left w:type="dxa" w:w="120"/>
              <w:bottom w:type="dxa" w:w="100"/>
              <w:right w:type="dxa" w:w="120"/>
            </w:tcMar>
          </w:tcPr>
          <w:p>
            <w:pPr>
              <w:spacing w:after="0"/>
              <w:jc w:val="left"/>
            </w:pPr>
            <w:r>
              <w:rPr>
                <w:rFonts w:ascii="Arial" w:cs="Arial" w:eastAsia="Arial" w:hAnsi="Arial"/>
                <w:b/>
                <w:bCs/>
                <w:color w:val="FFFFFF"/>
                <w:sz w:val="20"/>
                <w:szCs w:val="20"/>
              </w:rPr>
              <w:t xml:space="preserve">Event</w:t>
            </w:r>
          </w:p>
        </w:tc>
      </w:tr>
      <w:tr>
        <w:tc>
          <w:tcPr>
            <w:tcW w:type="dxa" w:w="234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Jan 2023</w:t>
            </w:r>
          </w:p>
        </w:tc>
        <w:tc>
          <w:tcPr>
            <w:tcW w:type="dxa" w:w="234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12K</w:t>
            </w:r>
          </w:p>
        </w:tc>
        <w:tc>
          <w:tcPr>
            <w:tcW w:type="dxa" w:w="234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₦461</w:t>
            </w:r>
          </w:p>
        </w:tc>
        <w:tc>
          <w:tcPr>
            <w:tcW w:type="dxa" w:w="234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Pre-devaluation baseline</w:t>
            </w:r>
          </w:p>
        </w:tc>
      </w:tr>
      <w:tr>
        <w:tc>
          <w:tcPr>
            <w:tcW w:type="dxa" w:w="234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Jul 2023</w:t>
            </w:r>
          </w:p>
        </w:tc>
        <w:tc>
          <w:tcPr>
            <w:tcW w:type="dxa" w:w="234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43K</w:t>
            </w:r>
          </w:p>
        </w:tc>
        <w:tc>
          <w:tcPr>
            <w:tcW w:type="dxa" w:w="234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₦775</w:t>
            </w:r>
          </w:p>
        </w:tc>
        <w:tc>
          <w:tcPr>
            <w:tcW w:type="dxa" w:w="234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Naira devaluation shock</w:t>
            </w:r>
          </w:p>
        </w:tc>
      </w:tr>
      <w:tr>
        <w:tc>
          <w:tcPr>
            <w:tcW w:type="dxa" w:w="234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Jan 2024</w:t>
            </w:r>
          </w:p>
        </w:tc>
        <w:tc>
          <w:tcPr>
            <w:tcW w:type="dxa" w:w="234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25K</w:t>
            </w:r>
          </w:p>
        </w:tc>
        <w:tc>
          <w:tcPr>
            <w:tcW w:type="dxa" w:w="234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₦1,490</w:t>
            </w:r>
          </w:p>
        </w:tc>
        <w:tc>
          <w:tcPr>
            <w:tcW w:type="dxa" w:w="234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Second devaluation wave</w:t>
            </w:r>
          </w:p>
        </w:tc>
      </w:tr>
      <w:tr>
        <w:tc>
          <w:tcPr>
            <w:tcW w:type="dxa" w:w="234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Jul 2024</w:t>
            </w:r>
          </w:p>
        </w:tc>
        <w:tc>
          <w:tcPr>
            <w:tcW w:type="dxa" w:w="234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35K</w:t>
            </w:r>
          </w:p>
        </w:tc>
        <w:tc>
          <w:tcPr>
            <w:tcW w:type="dxa" w:w="234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₦1,530</w:t>
            </w:r>
          </w:p>
        </w:tc>
        <w:tc>
          <w:tcPr>
            <w:tcW w:type="dxa" w:w="234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Continued depreciation</w:t>
            </w:r>
          </w:p>
        </w:tc>
      </w:tr>
      <w:tr>
        <w:tc>
          <w:tcPr>
            <w:tcW w:type="dxa" w:w="234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May 2025</w:t>
            </w:r>
          </w:p>
        </w:tc>
        <w:tc>
          <w:tcPr>
            <w:tcW w:type="dxa" w:w="234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38K</w:t>
            </w:r>
          </w:p>
        </w:tc>
        <w:tc>
          <w:tcPr>
            <w:tcW w:type="dxa" w:w="234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₦1,620</w:t>
            </w:r>
          </w:p>
        </w:tc>
        <w:tc>
          <w:tcPr>
            <w:tcW w:type="dxa" w:w="234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Ongoing trend</w:t>
            </w:r>
          </w:p>
        </w:tc>
      </w:tr>
    </w:tbl>
    <w:p>
      <w:pPr>
        <w:spacing w:after="80" w:before="0"/>
      </w:pPr>
      <w:r>
        <w:t xml:space="preserve"/>
      </w:r>
    </w:p>
    <w:p>
      <w:pPr>
        <w:spacing w:after="60" w:before="400"/>
      </w:pPr>
      <w:r>
        <w:rPr>
          <w:rFonts w:ascii="Courier New" w:cs="Courier New" w:eastAsia="Courier New" w:hAnsi="Courier New"/>
          <w:b/>
          <w:bCs/>
          <w:color w:val="00897B"/>
          <w:sz w:val="18"/>
          <w:szCs w:val="18"/>
        </w:rPr>
        <w:t xml:space="preserve">04 ·  </w:t>
      </w:r>
      <w:r>
        <w:rPr>
          <w:rFonts w:ascii="Courier New" w:cs="Courier New" w:eastAsia="Courier New" w:hAnsi="Courier New"/>
          <w:b/>
          <w:bCs/>
          <w:color w:val="00897B"/>
          <w:spacing w:val="40"/>
          <w:sz w:val="18"/>
          <w:szCs w:val="18"/>
        </w:rPr>
        <w:t xml:space="preserve">METHODOLOGY</w:t>
      </w:r>
    </w:p>
    <w:p>
      <w:pPr>
        <w:pStyle w:val="Heading1"/>
        <w:pBdr>
          <w:bottom w:val="single" w:color="00897B" w:sz="8" w:space="4"/>
        </w:pBdr>
        <w:spacing w:after="120" w:before="360"/>
      </w:pPr>
      <w:r>
        <w:rPr>
          <w:rFonts w:ascii="Arial" w:cs="Arial" w:eastAsia="Arial" w:hAnsi="Arial"/>
          <w:b/>
          <w:bCs/>
          <w:color w:val="1A237E"/>
          <w:sz w:val="32"/>
          <w:szCs w:val="32"/>
        </w:rPr>
        <w:t xml:space="preserve">How the Analysis Was Built</w:t>
      </w:r>
    </w:p>
    <w:p>
      <w:pPr>
        <w:spacing w:after="120" w:before="0" w:line="320"/>
      </w:pPr>
      <w:r>
        <w:rPr>
          <w:rFonts w:ascii="Arial" w:cs="Arial" w:eastAsia="Arial" w:hAnsi="Arial"/>
          <w:color w:val="37474F"/>
          <w:sz w:val="22"/>
          <w:szCs w:val="22"/>
        </w:rPr>
        <w:t xml:space="preserve">All on-chain data was queried from </w:t>
      </w:r>
      <w:r>
        <w:rPr>
          <w:rFonts w:ascii="Arial" w:cs="Arial" w:eastAsia="Arial" w:hAnsi="Arial"/>
          <w:b/>
          <w:bCs/>
          <w:color w:val="212121"/>
          <w:sz w:val="22"/>
          <w:szCs w:val="22"/>
        </w:rPr>
        <w:t xml:space="preserve">Dune Analytics</w:t>
      </w:r>
      <w:r>
        <w:rPr>
          <w:rFonts w:ascii="Arial" w:cs="Arial" w:eastAsia="Arial" w:hAnsi="Arial"/>
          <w:color w:val="37474F"/>
          <w:sz w:val="22"/>
          <w:szCs w:val="22"/>
        </w:rPr>
        <w:t xml:space="preserve"> using SQL. Wallets were segmented into an "emerging market cohort" using a heuristic: wallets with median transfer sizes below $1,000, fewer than 5 unique DeFi protocol interactions, and first-transaction timestamps correlating with local fiat currency events.</w:t>
      </w:r>
    </w:p>
    <w:p>
      <w:pPr>
        <w:spacing w:after="120" w:before="0" w:line="320"/>
      </w:pPr>
      <w:r>
        <w:rPr>
          <w:rFonts w:ascii="Arial" w:cs="Arial" w:eastAsia="Arial" w:hAnsi="Arial"/>
          <w:color w:val="37474F"/>
          <w:sz w:val="22"/>
          <w:szCs w:val="22"/>
        </w:rPr>
        <w:t xml:space="preserve">Exchange rate data was sourced from the </w:t>
      </w:r>
      <w:r>
        <w:rPr>
          <w:rFonts w:ascii="Arial" w:cs="Arial" w:eastAsia="Arial" w:hAnsi="Arial"/>
          <w:b/>
          <w:bCs/>
          <w:color w:val="212121"/>
          <w:sz w:val="22"/>
          <w:szCs w:val="22"/>
        </w:rPr>
        <w:t xml:space="preserve">IMF International Financial Statistics</w:t>
      </w:r>
      <w:r>
        <w:rPr>
          <w:rFonts w:ascii="Arial" w:cs="Arial" w:eastAsia="Arial" w:hAnsi="Arial"/>
          <w:color w:val="37474F"/>
          <w:sz w:val="22"/>
          <w:szCs w:val="22"/>
        </w:rPr>
        <w:t xml:space="preserve"> database and overlaid with wallet activation timelines to test correlation. Transfer size distributions were compared against </w:t>
      </w:r>
      <w:r>
        <w:rPr>
          <w:rFonts w:ascii="Arial" w:cs="Arial" w:eastAsia="Arial" w:hAnsi="Arial"/>
          <w:b/>
          <w:bCs/>
          <w:color w:val="212121"/>
          <w:sz w:val="22"/>
          <w:szCs w:val="22"/>
        </w:rPr>
        <w:t xml:space="preserve">Chainalysis Geography of Cryptocurrency</w:t>
      </w:r>
      <w:r>
        <w:rPr>
          <w:rFonts w:ascii="Arial" w:cs="Arial" w:eastAsia="Arial" w:hAnsi="Arial"/>
          <w:color w:val="37474F"/>
          <w:sz w:val="22"/>
          <w:szCs w:val="22"/>
        </w:rPr>
        <w:t xml:space="preserve"> benchmarks to validate the emerging-market classification.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F57F17" w:sz="20"/>
              <w:bottom w:val="none" w:color="FFFFFF" w:sz="0"/>
              <w:right w:val="none" w:color="FFFFFF" w:sz="0"/>
            </w:tcBorders>
            <w:shd w:fill="FFF8E1" w:val="clear"/>
            <w:tcMar>
              <w:top w:type="dxa" w:w="140"/>
              <w:left w:type="dxa" w:w="240"/>
              <w:bottom w:type="dxa" w:w="140"/>
              <w:right w:type="dxa" w:w="240"/>
            </w:tcMar>
          </w:tcPr>
          <w:p>
            <w:pPr>
              <w:spacing w:after="60"/>
            </w:pPr>
            <w:r>
              <w:rPr>
                <w:rFonts w:ascii="Courier New" w:cs="Courier New" w:eastAsia="Courier New" w:hAnsi="Courier New"/>
                <w:color w:val="F57F17"/>
                <w:spacing w:val="40"/>
                <w:sz w:val="18"/>
                <w:szCs w:val="18"/>
              </w:rPr>
              <w:t xml:space="preserve">LIMITATION</w:t>
            </w:r>
          </w:p>
          <w:p>
            <w:pPr>
              <w:spacing w:after="0"/>
            </w:pPr>
            <w:r>
              <w:rPr>
                <w:rFonts w:ascii="Arial" w:cs="Arial" w:eastAsia="Arial" w:hAnsi="Arial"/>
                <w:color w:val="37474F"/>
                <w:sz w:val="22"/>
                <w:szCs w:val="22"/>
              </w:rPr>
              <w:t xml:space="preserve">On-chain data cannot perfectly identify user geography. Country-level attribution is estimated based on P2P exchange flow patterns and is </w:t>
            </w:r>
            <w:r>
              <w:rPr>
                <w:rFonts w:ascii="Arial" w:cs="Arial" w:eastAsia="Arial" w:hAnsi="Arial"/>
                <w:b/>
                <w:bCs/>
                <w:color w:val="212121"/>
                <w:sz w:val="22"/>
                <w:szCs w:val="22"/>
              </w:rPr>
              <w:t xml:space="preserve">directionally reliable but not exact</w:t>
            </w:r>
            <w:r>
              <w:rPr>
                <w:rFonts w:ascii="Arial" w:cs="Arial" w:eastAsia="Arial" w:hAnsi="Arial"/>
                <w:color w:val="37474F"/>
                <w:sz w:val="22"/>
                <w:szCs w:val="22"/>
              </w:rPr>
              <w:t xml:space="preserve">.</w:t>
            </w:r>
          </w:p>
        </w:tc>
      </w:tr>
    </w:tbl>
    <w:p>
      <w:pPr>
        <w:spacing w:after="80" w:before="0"/>
      </w:pPr>
      <w:r>
        <w:t xml:space="preserve"/>
      </w:r>
    </w:p>
    <w:p>
      <w:pPr>
        <w:spacing w:after="60" w:before="400"/>
      </w:pPr>
      <w:r>
        <w:rPr>
          <w:rFonts w:ascii="Courier New" w:cs="Courier New" w:eastAsia="Courier New" w:hAnsi="Courier New"/>
          <w:b/>
          <w:bCs/>
          <w:color w:val="00897B"/>
          <w:sz w:val="18"/>
          <w:szCs w:val="18"/>
        </w:rPr>
        <w:t xml:space="preserve">05 ·  </w:t>
      </w:r>
      <w:r>
        <w:rPr>
          <w:rFonts w:ascii="Courier New" w:cs="Courier New" w:eastAsia="Courier New" w:hAnsi="Courier New"/>
          <w:b/>
          <w:bCs/>
          <w:color w:val="00897B"/>
          <w:spacing w:val="40"/>
          <w:sz w:val="18"/>
          <w:szCs w:val="18"/>
        </w:rPr>
        <w:t xml:space="preserve">DUNE SQL QUERIES</w:t>
      </w:r>
    </w:p>
    <w:p>
      <w:pPr>
        <w:pStyle w:val="Heading1"/>
        <w:pBdr>
          <w:bottom w:val="single" w:color="00897B" w:sz="8" w:space="4"/>
        </w:pBdr>
        <w:spacing w:after="120" w:before="360"/>
      </w:pPr>
      <w:r>
        <w:rPr>
          <w:rFonts w:ascii="Arial" w:cs="Arial" w:eastAsia="Arial" w:hAnsi="Arial"/>
          <w:b/>
          <w:bCs/>
          <w:color w:val="1A237E"/>
          <w:sz w:val="32"/>
          <w:szCs w:val="32"/>
        </w:rPr>
        <w:t xml:space="preserve">Run These Yourself on Dune Analytics</w:t>
      </w:r>
    </w:p>
    <w:p>
      <w:pPr>
        <w:spacing w:after="120" w:before="0" w:line="320"/>
      </w:pPr>
      <w:r>
        <w:rPr>
          <w:rFonts w:ascii="Arial" w:cs="Arial" w:eastAsia="Arial" w:hAnsi="Arial"/>
          <w:color w:val="37474F"/>
          <w:sz w:val="22"/>
          <w:szCs w:val="22"/>
        </w:rPr>
        <w:t xml:space="preserve">The following queries can be pasted directly into </w:t>
      </w:r>
      <w:r>
        <w:rPr>
          <w:rFonts w:ascii="Arial" w:cs="Arial" w:eastAsia="Arial" w:hAnsi="Arial"/>
          <w:b/>
          <w:bCs/>
          <w:color w:val="212121"/>
          <w:sz w:val="22"/>
          <w:szCs w:val="22"/>
        </w:rPr>
        <w:t xml:space="preserve">dune.com</w:t>
      </w:r>
      <w:r>
        <w:rPr>
          <w:rFonts w:ascii="Arial" w:cs="Arial" w:eastAsia="Arial" w:hAnsi="Arial"/>
          <w:color w:val="37474F"/>
          <w:sz w:val="22"/>
          <w:szCs w:val="22"/>
        </w:rPr>
        <w:t xml:space="preserve"> (new query editor). All use Dune's Spellbook abstraction layer for cross-chain compatibility.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E3F2FD" w:val="clear"/>
            <w:tcMar>
              <w:top w:type="dxa" w:w="80"/>
              <w:left w:type="dxa" w:w="160"/>
              <w:bottom w:type="dxa" w:w="80"/>
              <w:right w:type="dxa" w:w="160"/>
            </w:tcMar>
          </w:tcPr>
          <w:p>
            <w:pPr>
              <w:spacing w:after="0"/>
            </w:pPr>
            <w:r>
              <w:rPr>
                <w:rFonts w:ascii="Courier New" w:cs="Courier New" w:eastAsia="Courier New" w:hAnsi="Courier New"/>
                <w:b/>
                <w:bCs/>
                <w:color w:val="1565C0"/>
                <w:sz w:val="20"/>
                <w:szCs w:val="20"/>
              </w:rPr>
              <w:t xml:space="preserve">Query 1 · USDT Monthly Transfer Volume on Tron</w:t>
            </w:r>
            <w:r>
              <w:rPr>
                <w:rFonts w:ascii="Courier New" w:cs="Courier New" w:eastAsia="Courier New" w:hAnsi="Courier New"/>
                <w:color w:val="546E7A"/>
                <w:sz w:val="18"/>
                <w:szCs w:val="18"/>
              </w:rPr>
              <w:t xml:space="preserve">   [tron.transfers]</w:t>
            </w:r>
          </w:p>
        </w:tc>
      </w:tr>
      <w:tr>
        <w:tc>
          <w:tcPr>
            <w:tcW w:type="dxa" w:w="9360"/>
            <w:tcBorders>
              <w:top w:val="single" w:color="CFD8DC" w:sz="1"/>
              <w:left w:val="single" w:color="CFD8DC" w:sz="1"/>
              <w:bottom w:val="single" w:color="CFD8DC" w:sz="1"/>
              <w:right w:val="single" w:color="CFD8DC" w:sz="1"/>
            </w:tcBorders>
            <w:shd w:fill="FAFAFA" w:val="clear"/>
            <w:tcMar>
              <w:top w:type="dxa" w:w="160"/>
              <w:left w:type="dxa" w:w="200"/>
              <w:bottom w:type="dxa" w:w="160"/>
              <w:right w:type="dxa" w:w="200"/>
            </w:tcMar>
          </w:tcPr>
          <w:p>
            <w:pPr>
              <w:spacing w:after="0" w:line="260"/>
            </w:pPr>
            <w:r>
              <w:rPr>
                <w:rFonts w:ascii="Courier New" w:cs="Courier New" w:eastAsia="Courier New" w:hAnsi="Courier New"/>
                <w:color w:val="263238"/>
                <w:sz w:val="18"/>
                <w:szCs w:val="18"/>
              </w:rPr>
              <w:t xml:space="preserve">-- USDT monthly transfer volume on Tron network</w:t>
            </w:r>
          </w:p>
          <w:p>
            <w:pPr>
              <w:spacing w:after="0" w:line="260"/>
            </w:pPr>
            <w:r>
              <w:rPr>
                <w:rFonts w:ascii="Courier New" w:cs="Courier New" w:eastAsia="Courier New" w:hAnsi="Courier New"/>
                <w:color w:val="263238"/>
                <w:sz w:val="18"/>
                <w:szCs w:val="18"/>
              </w:rPr>
              <w:t xml:space="preserve">-- Paste into Dune Analytics -&gt; New Query</w:t>
            </w:r>
          </w:p>
          <w:p>
            <w:pPr>
              <w:spacing w:after="0" w:line="260"/>
            </w:pPr>
            <w:r>
              <w:rPr>
                <w:rFonts w:ascii="Courier New" w:cs="Courier New" w:eastAsia="Courier New" w:hAnsi="Courier New"/>
                <w:color w:val="263238"/>
                <w:sz w:val="18"/>
                <w:szCs w:val="18"/>
              </w:rPr>
              <w:t xml:space="preserve"/>
            </w:r>
          </w:p>
          <w:p>
            <w:pPr>
              <w:spacing w:after="0" w:line="260"/>
            </w:pPr>
            <w:r>
              <w:rPr>
                <w:rFonts w:ascii="Courier New" w:cs="Courier New" w:eastAsia="Courier New" w:hAnsi="Courier New"/>
                <w:color w:val="263238"/>
                <w:sz w:val="18"/>
                <w:szCs w:val="18"/>
              </w:rPr>
              <w:t xml:space="preserve">SELECT</w:t>
            </w:r>
          </w:p>
          <w:p>
            <w:pPr>
              <w:spacing w:after="0" w:line="260"/>
            </w:pPr>
            <w:r>
              <w:rPr>
                <w:rFonts w:ascii="Courier New" w:cs="Courier New" w:eastAsia="Courier New" w:hAnsi="Courier New"/>
                <w:color w:val="263238"/>
                <w:sz w:val="18"/>
                <w:szCs w:val="18"/>
              </w:rPr>
              <w:t xml:space="preserve">    DATE_TRUNC('month', block_time)        AS month,</w:t>
            </w:r>
          </w:p>
          <w:p>
            <w:pPr>
              <w:spacing w:after="0" w:line="260"/>
            </w:pPr>
            <w:r>
              <w:rPr>
                <w:rFonts w:ascii="Courier New" w:cs="Courier New" w:eastAsia="Courier New" w:hAnsi="Courier New"/>
                <w:color w:val="263238"/>
                <w:sz w:val="18"/>
                <w:szCs w:val="18"/>
              </w:rPr>
              <w:t xml:space="preserve">    COUNT(*)                               AS transfer_count,</w:t>
            </w:r>
          </w:p>
          <w:p>
            <w:pPr>
              <w:spacing w:after="0" w:line="260"/>
            </w:pPr>
            <w:r>
              <w:rPr>
                <w:rFonts w:ascii="Courier New" w:cs="Courier New" w:eastAsia="Courier New" w:hAnsi="Courier New"/>
                <w:color w:val="263238"/>
                <w:sz w:val="18"/>
                <w:szCs w:val="18"/>
              </w:rPr>
              <w:t xml:space="preserve">    SUM(amount / 1e6)                      AS volume_usdt,</w:t>
            </w:r>
          </w:p>
          <w:p>
            <w:pPr>
              <w:spacing w:after="0" w:line="260"/>
            </w:pPr>
            <w:r>
              <w:rPr>
                <w:rFonts w:ascii="Courier New" w:cs="Courier New" w:eastAsia="Courier New" w:hAnsi="Courier New"/>
                <w:color w:val="263238"/>
                <w:sz w:val="18"/>
                <w:szCs w:val="18"/>
              </w:rPr>
              <w:t xml:space="preserve">    AVG(amount / 1e6)                      AS avg_transfer_size,</w:t>
            </w:r>
          </w:p>
          <w:p>
            <w:pPr>
              <w:spacing w:after="0" w:line="260"/>
            </w:pPr>
            <w:r>
              <w:rPr>
                <w:rFonts w:ascii="Courier New" w:cs="Courier New" w:eastAsia="Courier New" w:hAnsi="Courier New"/>
                <w:color w:val="263238"/>
                <w:sz w:val="18"/>
                <w:szCs w:val="18"/>
              </w:rPr>
              <w:t xml:space="preserve">    APPROX_PERCENTILE(amount / 1e6, 0.5)  AS median_transfer_size</w:t>
            </w:r>
          </w:p>
          <w:p>
            <w:pPr>
              <w:spacing w:after="0" w:line="260"/>
            </w:pPr>
            <w:r>
              <w:rPr>
                <w:rFonts w:ascii="Courier New" w:cs="Courier New" w:eastAsia="Courier New" w:hAnsi="Courier New"/>
                <w:color w:val="263238"/>
                <w:sz w:val="18"/>
                <w:szCs w:val="18"/>
              </w:rPr>
              <w:t xml:space="preserve"/>
            </w:r>
          </w:p>
          <w:p>
            <w:pPr>
              <w:spacing w:after="0" w:line="260"/>
            </w:pPr>
            <w:r>
              <w:rPr>
                <w:rFonts w:ascii="Courier New" w:cs="Courier New" w:eastAsia="Courier New" w:hAnsi="Courier New"/>
                <w:color w:val="263238"/>
                <w:sz w:val="18"/>
                <w:szCs w:val="18"/>
              </w:rPr>
              <w:t xml:space="preserve">FROM tron.transfers</w:t>
            </w:r>
          </w:p>
          <w:p>
            <w:pPr>
              <w:spacing w:after="0" w:line="260"/>
            </w:pPr>
            <w:r>
              <w:rPr>
                <w:rFonts w:ascii="Courier New" w:cs="Courier New" w:eastAsia="Courier New" w:hAnsi="Courier New"/>
                <w:color w:val="263238"/>
                <w:sz w:val="18"/>
                <w:szCs w:val="18"/>
              </w:rPr>
              <w:t xml:space="preserve"/>
            </w:r>
          </w:p>
          <w:p>
            <w:pPr>
              <w:spacing w:after="0" w:line="260"/>
            </w:pPr>
            <w:r>
              <w:rPr>
                <w:rFonts w:ascii="Courier New" w:cs="Courier New" w:eastAsia="Courier New" w:hAnsi="Courier New"/>
                <w:color w:val="263238"/>
                <w:sz w:val="18"/>
                <w:szCs w:val="18"/>
              </w:rPr>
              <w:t xml:space="preserve">WHERE</w:t>
            </w:r>
          </w:p>
          <w:p>
            <w:pPr>
              <w:spacing w:after="0" w:line="260"/>
            </w:pPr>
            <w:r>
              <w:rPr>
                <w:rFonts w:ascii="Courier New" w:cs="Courier New" w:eastAsia="Courier New" w:hAnsi="Courier New"/>
                <w:color w:val="263238"/>
                <w:sz w:val="18"/>
                <w:szCs w:val="18"/>
              </w:rPr>
              <w:t xml:space="preserve">    contract_address = 'TR7NHqjeKQxGTCi8q8ZY4pL8otSzgjLj6t'  -- USDT on Tron</w:t>
            </w:r>
          </w:p>
          <w:p>
            <w:pPr>
              <w:spacing w:after="0" w:line="260"/>
            </w:pPr>
            <w:r>
              <w:rPr>
                <w:rFonts w:ascii="Courier New" w:cs="Courier New" w:eastAsia="Courier New" w:hAnsi="Courier New"/>
                <w:color w:val="263238"/>
                <w:sz w:val="18"/>
                <w:szCs w:val="18"/>
              </w:rPr>
              <w:t xml:space="preserve">    AND block_time &gt;= TIMESTAMP '2023-01-01'</w:t>
            </w:r>
          </w:p>
          <w:p>
            <w:pPr>
              <w:spacing w:after="0" w:line="260"/>
            </w:pPr>
            <w:r>
              <w:rPr>
                <w:rFonts w:ascii="Courier New" w:cs="Courier New" w:eastAsia="Courier New" w:hAnsi="Courier New"/>
                <w:color w:val="263238"/>
                <w:sz w:val="18"/>
                <w:szCs w:val="18"/>
              </w:rPr>
              <w:t xml:space="preserve">    AND amount &gt; 0</w:t>
            </w:r>
          </w:p>
          <w:p>
            <w:pPr>
              <w:spacing w:after="0" w:line="260"/>
            </w:pPr>
            <w:r>
              <w:rPr>
                <w:rFonts w:ascii="Courier New" w:cs="Courier New" w:eastAsia="Courier New" w:hAnsi="Courier New"/>
                <w:color w:val="263238"/>
                <w:sz w:val="18"/>
                <w:szCs w:val="18"/>
              </w:rPr>
              <w:t xml:space="preserve"/>
            </w:r>
          </w:p>
          <w:p>
            <w:pPr>
              <w:spacing w:after="0" w:line="260"/>
            </w:pPr>
            <w:r>
              <w:rPr>
                <w:rFonts w:ascii="Courier New" w:cs="Courier New" w:eastAsia="Courier New" w:hAnsi="Courier New"/>
                <w:color w:val="263238"/>
                <w:sz w:val="18"/>
                <w:szCs w:val="18"/>
              </w:rPr>
              <w:t xml:space="preserve">GROUP BY 1</w:t>
            </w:r>
          </w:p>
          <w:p>
            <w:pPr>
              <w:spacing w:after="0" w:line="260"/>
            </w:pPr>
            <w:r>
              <w:rPr>
                <w:rFonts w:ascii="Courier New" w:cs="Courier New" w:eastAsia="Courier New" w:hAnsi="Courier New"/>
                <w:color w:val="263238"/>
                <w:sz w:val="18"/>
                <w:szCs w:val="18"/>
              </w:rPr>
              <w:t xml:space="preserve">ORDER BY 1 ASC</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E3F2FD" w:val="clear"/>
            <w:tcMar>
              <w:top w:type="dxa" w:w="80"/>
              <w:left w:type="dxa" w:w="160"/>
              <w:bottom w:type="dxa" w:w="80"/>
              <w:right w:type="dxa" w:w="160"/>
            </w:tcMar>
          </w:tcPr>
          <w:p>
            <w:pPr>
              <w:spacing w:after="0"/>
            </w:pPr>
            <w:r>
              <w:rPr>
                <w:rFonts w:ascii="Courier New" w:cs="Courier New" w:eastAsia="Courier New" w:hAnsi="Courier New"/>
                <w:b/>
                <w:bCs/>
                <w:color w:val="1565C0"/>
                <w:sz w:val="20"/>
                <w:szCs w:val="20"/>
              </w:rPr>
              <w:t xml:space="preserve">Query 2 · Small-Value Transfer Distribution (Retail Proxy)</w:t>
            </w:r>
            <w:r>
              <w:rPr>
                <w:rFonts w:ascii="Courier New" w:cs="Courier New" w:eastAsia="Courier New" w:hAnsi="Courier New"/>
                <w:color w:val="546E7A"/>
                <w:sz w:val="18"/>
                <w:szCs w:val="18"/>
              </w:rPr>
              <w:t xml:space="preserve">   [tokens_ethereum.transfers]</w:t>
            </w:r>
          </w:p>
        </w:tc>
      </w:tr>
      <w:tr>
        <w:tc>
          <w:tcPr>
            <w:tcW w:type="dxa" w:w="9360"/>
            <w:tcBorders>
              <w:top w:val="single" w:color="CFD8DC" w:sz="1"/>
              <w:left w:val="single" w:color="CFD8DC" w:sz="1"/>
              <w:bottom w:val="single" w:color="CFD8DC" w:sz="1"/>
              <w:right w:val="single" w:color="CFD8DC" w:sz="1"/>
            </w:tcBorders>
            <w:shd w:fill="FAFAFA" w:val="clear"/>
            <w:tcMar>
              <w:top w:type="dxa" w:w="160"/>
              <w:left w:type="dxa" w:w="200"/>
              <w:bottom w:type="dxa" w:w="160"/>
              <w:right w:type="dxa" w:w="200"/>
            </w:tcMar>
          </w:tcPr>
          <w:p>
            <w:pPr>
              <w:spacing w:after="0" w:line="260"/>
            </w:pPr>
            <w:r>
              <w:rPr>
                <w:rFonts w:ascii="Courier New" w:cs="Courier New" w:eastAsia="Courier New" w:hAnsi="Courier New"/>
                <w:color w:val="263238"/>
                <w:sz w:val="18"/>
                <w:szCs w:val="18"/>
              </w:rPr>
              <w:t xml:space="preserve">-- Segment transfers by size bucket to identify retail vs institutional</w:t>
            </w:r>
          </w:p>
          <w:p>
            <w:pPr>
              <w:spacing w:after="0" w:line="260"/>
            </w:pPr>
            <w:r>
              <w:rPr>
                <w:rFonts w:ascii="Courier New" w:cs="Courier New" w:eastAsia="Courier New" w:hAnsi="Courier New"/>
                <w:color w:val="263238"/>
                <w:sz w:val="18"/>
                <w:szCs w:val="18"/>
              </w:rPr>
              <w:t xml:space="preserve">-- Small transfers = retail/remittance proxy</w:t>
            </w:r>
          </w:p>
          <w:p>
            <w:pPr>
              <w:spacing w:after="0" w:line="260"/>
            </w:pPr>
            <w:r>
              <w:rPr>
                <w:rFonts w:ascii="Courier New" w:cs="Courier New" w:eastAsia="Courier New" w:hAnsi="Courier New"/>
                <w:color w:val="263238"/>
                <w:sz w:val="18"/>
                <w:szCs w:val="18"/>
              </w:rPr>
              <w:t xml:space="preserve"/>
            </w:r>
          </w:p>
          <w:p>
            <w:pPr>
              <w:spacing w:after="0" w:line="260"/>
            </w:pPr>
            <w:r>
              <w:rPr>
                <w:rFonts w:ascii="Courier New" w:cs="Courier New" w:eastAsia="Courier New" w:hAnsi="Courier New"/>
                <w:color w:val="263238"/>
                <w:sz w:val="18"/>
                <w:szCs w:val="18"/>
              </w:rPr>
              <w:t xml:space="preserve">SELECT</w:t>
            </w:r>
          </w:p>
          <w:p>
            <w:pPr>
              <w:spacing w:after="0" w:line="260"/>
            </w:pPr>
            <w:r>
              <w:rPr>
                <w:rFonts w:ascii="Courier New" w:cs="Courier New" w:eastAsia="Courier New" w:hAnsi="Courier New"/>
                <w:color w:val="263238"/>
                <w:sz w:val="18"/>
                <w:szCs w:val="18"/>
              </w:rPr>
              <w:t xml:space="preserve">    CASE</w:t>
            </w:r>
          </w:p>
          <w:p>
            <w:pPr>
              <w:spacing w:after="0" w:line="260"/>
            </w:pPr>
            <w:r>
              <w:rPr>
                <w:rFonts w:ascii="Courier New" w:cs="Courier New" w:eastAsia="Courier New" w:hAnsi="Courier New"/>
                <w:color w:val="263238"/>
                <w:sz w:val="18"/>
                <w:szCs w:val="18"/>
              </w:rPr>
              <w:t xml:space="preserve">        WHEN amount_usd &lt; 100   THEN '&lt; $100'</w:t>
            </w:r>
          </w:p>
          <w:p>
            <w:pPr>
              <w:spacing w:after="0" w:line="260"/>
            </w:pPr>
            <w:r>
              <w:rPr>
                <w:rFonts w:ascii="Courier New" w:cs="Courier New" w:eastAsia="Courier New" w:hAnsi="Courier New"/>
                <w:color w:val="263238"/>
                <w:sz w:val="18"/>
                <w:szCs w:val="18"/>
              </w:rPr>
              <w:t xml:space="preserve">        WHEN amount_usd &lt; 500   THEN '$100-$500'</w:t>
            </w:r>
          </w:p>
          <w:p>
            <w:pPr>
              <w:spacing w:after="0" w:line="260"/>
            </w:pPr>
            <w:r>
              <w:rPr>
                <w:rFonts w:ascii="Courier New" w:cs="Courier New" w:eastAsia="Courier New" w:hAnsi="Courier New"/>
                <w:color w:val="263238"/>
                <w:sz w:val="18"/>
                <w:szCs w:val="18"/>
              </w:rPr>
              <w:t xml:space="preserve">        WHEN amount_usd &lt; 1000  THEN '$500-$1K'</w:t>
            </w:r>
          </w:p>
          <w:p>
            <w:pPr>
              <w:spacing w:after="0" w:line="260"/>
            </w:pPr>
            <w:r>
              <w:rPr>
                <w:rFonts w:ascii="Courier New" w:cs="Courier New" w:eastAsia="Courier New" w:hAnsi="Courier New"/>
                <w:color w:val="263238"/>
                <w:sz w:val="18"/>
                <w:szCs w:val="18"/>
              </w:rPr>
              <w:t xml:space="preserve">        WHEN amount_usd &lt; 10000 THEN '$1K-$10K'</w:t>
            </w:r>
          </w:p>
          <w:p>
            <w:pPr>
              <w:spacing w:after="0" w:line="260"/>
            </w:pPr>
            <w:r>
              <w:rPr>
                <w:rFonts w:ascii="Courier New" w:cs="Courier New" w:eastAsia="Courier New" w:hAnsi="Courier New"/>
                <w:color w:val="263238"/>
                <w:sz w:val="18"/>
                <w:szCs w:val="18"/>
              </w:rPr>
              <w:t xml:space="preserve">        ELSE '&gt; $10K'</w:t>
            </w:r>
          </w:p>
          <w:p>
            <w:pPr>
              <w:spacing w:after="0" w:line="260"/>
            </w:pPr>
            <w:r>
              <w:rPr>
                <w:rFonts w:ascii="Courier New" w:cs="Courier New" w:eastAsia="Courier New" w:hAnsi="Courier New"/>
                <w:color w:val="263238"/>
                <w:sz w:val="18"/>
                <w:szCs w:val="18"/>
              </w:rPr>
              <w:t xml:space="preserve">    END                        AS size_bucket,</w:t>
            </w:r>
          </w:p>
          <w:p>
            <w:pPr>
              <w:spacing w:after="0" w:line="260"/>
            </w:pPr>
            <w:r>
              <w:rPr>
                <w:rFonts w:ascii="Courier New" w:cs="Courier New" w:eastAsia="Courier New" w:hAnsi="Courier New"/>
                <w:color w:val="263238"/>
                <w:sz w:val="18"/>
                <w:szCs w:val="18"/>
              </w:rPr>
              <w:t xml:space="preserve">    COUNT(*)                   AS tx_count,</w:t>
            </w:r>
          </w:p>
          <w:p>
            <w:pPr>
              <w:spacing w:after="0" w:line="260"/>
            </w:pPr>
            <w:r>
              <w:rPr>
                <w:rFonts w:ascii="Courier New" w:cs="Courier New" w:eastAsia="Courier New" w:hAnsi="Courier New"/>
                <w:color w:val="263238"/>
                <w:sz w:val="18"/>
                <w:szCs w:val="18"/>
              </w:rPr>
              <w:t xml:space="preserve">    SUM(amount_usd)            AS total_volume,</w:t>
            </w:r>
          </w:p>
          <w:p>
            <w:pPr>
              <w:spacing w:after="0" w:line="260"/>
            </w:pPr>
            <w:r>
              <w:rPr>
                <w:rFonts w:ascii="Courier New" w:cs="Courier New" w:eastAsia="Courier New" w:hAnsi="Courier New"/>
                <w:color w:val="263238"/>
                <w:sz w:val="18"/>
                <w:szCs w:val="18"/>
              </w:rPr>
              <w:t xml:space="preserve">    ROUND(COUNT(*) * 100.0 / SUM(COUNT(*)) OVER(), 2) AS pct_of_txs</w:t>
            </w:r>
          </w:p>
          <w:p>
            <w:pPr>
              <w:spacing w:after="0" w:line="260"/>
            </w:pPr>
            <w:r>
              <w:rPr>
                <w:rFonts w:ascii="Courier New" w:cs="Courier New" w:eastAsia="Courier New" w:hAnsi="Courier New"/>
                <w:color w:val="263238"/>
                <w:sz w:val="18"/>
                <w:szCs w:val="18"/>
              </w:rPr>
              <w:t xml:space="preserve"/>
            </w:r>
          </w:p>
          <w:p>
            <w:pPr>
              <w:spacing w:after="0" w:line="260"/>
            </w:pPr>
            <w:r>
              <w:rPr>
                <w:rFonts w:ascii="Courier New" w:cs="Courier New" w:eastAsia="Courier New" w:hAnsi="Courier New"/>
                <w:color w:val="263238"/>
                <w:sz w:val="18"/>
                <w:szCs w:val="18"/>
              </w:rPr>
              <w:t xml:space="preserve">FROM tokens_ethereum.transfers</w:t>
            </w:r>
          </w:p>
          <w:p>
            <w:pPr>
              <w:spacing w:after="0" w:line="260"/>
            </w:pPr>
            <w:r>
              <w:rPr>
                <w:rFonts w:ascii="Courier New" w:cs="Courier New" w:eastAsia="Courier New" w:hAnsi="Courier New"/>
                <w:color w:val="263238"/>
                <w:sz w:val="18"/>
                <w:szCs w:val="18"/>
              </w:rPr>
              <w:t xml:space="preserve"/>
            </w:r>
          </w:p>
          <w:p>
            <w:pPr>
              <w:spacing w:after="0" w:line="260"/>
            </w:pPr>
            <w:r>
              <w:rPr>
                <w:rFonts w:ascii="Courier New" w:cs="Courier New" w:eastAsia="Courier New" w:hAnsi="Courier New"/>
                <w:color w:val="263238"/>
                <w:sz w:val="18"/>
                <w:szCs w:val="18"/>
              </w:rPr>
              <w:t xml:space="preserve">WHERE</w:t>
            </w:r>
          </w:p>
          <w:p>
            <w:pPr>
              <w:spacing w:after="0" w:line="260"/>
            </w:pPr>
            <w:r>
              <w:rPr>
                <w:rFonts w:ascii="Courier New" w:cs="Courier New" w:eastAsia="Courier New" w:hAnsi="Courier New"/>
                <w:color w:val="263238"/>
                <w:sz w:val="18"/>
                <w:szCs w:val="18"/>
              </w:rPr>
              <w:t xml:space="preserve">    symbol = 'USDT'</w:t>
            </w:r>
          </w:p>
          <w:p>
            <w:pPr>
              <w:spacing w:after="0" w:line="260"/>
            </w:pPr>
            <w:r>
              <w:rPr>
                <w:rFonts w:ascii="Courier New" w:cs="Courier New" w:eastAsia="Courier New" w:hAnsi="Courier New"/>
                <w:color w:val="263238"/>
                <w:sz w:val="18"/>
                <w:szCs w:val="18"/>
              </w:rPr>
              <w:t xml:space="preserve">    AND block_time &gt;= TIMESTAMP '2024-01-01'</w:t>
            </w:r>
          </w:p>
          <w:p>
            <w:pPr>
              <w:spacing w:after="0" w:line="260"/>
            </w:pPr>
            <w:r>
              <w:rPr>
                <w:rFonts w:ascii="Courier New" w:cs="Courier New" w:eastAsia="Courier New" w:hAnsi="Courier New"/>
                <w:color w:val="263238"/>
                <w:sz w:val="18"/>
                <w:szCs w:val="18"/>
              </w:rPr>
              <w:t xml:space="preserve">    AND amount_usd IS NOT NULL</w:t>
            </w:r>
          </w:p>
          <w:p>
            <w:pPr>
              <w:spacing w:after="0" w:line="260"/>
            </w:pPr>
            <w:r>
              <w:rPr>
                <w:rFonts w:ascii="Courier New" w:cs="Courier New" w:eastAsia="Courier New" w:hAnsi="Courier New"/>
                <w:color w:val="263238"/>
                <w:sz w:val="18"/>
                <w:szCs w:val="18"/>
              </w:rPr>
              <w:t xml:space="preserve"/>
            </w:r>
          </w:p>
          <w:p>
            <w:pPr>
              <w:spacing w:after="0" w:line="260"/>
            </w:pPr>
            <w:r>
              <w:rPr>
                <w:rFonts w:ascii="Courier New" w:cs="Courier New" w:eastAsia="Courier New" w:hAnsi="Courier New"/>
                <w:color w:val="263238"/>
                <w:sz w:val="18"/>
                <w:szCs w:val="18"/>
              </w:rPr>
              <w:t xml:space="preserve">GROUP BY 1</w:t>
            </w:r>
          </w:p>
          <w:p>
            <w:pPr>
              <w:spacing w:after="0" w:line="260"/>
            </w:pPr>
            <w:r>
              <w:rPr>
                <w:rFonts w:ascii="Courier New" w:cs="Courier New" w:eastAsia="Courier New" w:hAnsi="Courier New"/>
                <w:color w:val="263238"/>
                <w:sz w:val="18"/>
                <w:szCs w:val="18"/>
              </w:rPr>
              <w:t xml:space="preserve">ORDER BY MIN(amount_usd) ASC</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E3F2FD" w:val="clear"/>
            <w:tcMar>
              <w:top w:type="dxa" w:w="80"/>
              <w:left w:type="dxa" w:w="160"/>
              <w:bottom w:type="dxa" w:w="80"/>
              <w:right w:type="dxa" w:w="160"/>
            </w:tcMar>
          </w:tcPr>
          <w:p>
            <w:pPr>
              <w:spacing w:after="0"/>
            </w:pPr>
            <w:r>
              <w:rPr>
                <w:rFonts w:ascii="Courier New" w:cs="Courier New" w:eastAsia="Courier New" w:hAnsi="Courier New"/>
                <w:b/>
                <w:bCs/>
                <w:color w:val="1565C0"/>
                <w:sz w:val="20"/>
                <w:szCs w:val="20"/>
              </w:rPr>
              <w:t xml:space="preserve">Query 3 · New Wallet Activations Over Time</w:t>
            </w:r>
            <w:r>
              <w:rPr>
                <w:rFonts w:ascii="Courier New" w:cs="Courier New" w:eastAsia="Courier New" w:hAnsi="Courier New"/>
                <w:color w:val="546E7A"/>
                <w:sz w:val="18"/>
                <w:szCs w:val="18"/>
              </w:rPr>
              <w:t xml:space="preserve">   [tokens.transfers]</w:t>
            </w:r>
          </w:p>
        </w:tc>
      </w:tr>
      <w:tr>
        <w:tc>
          <w:tcPr>
            <w:tcW w:type="dxa" w:w="9360"/>
            <w:tcBorders>
              <w:top w:val="single" w:color="CFD8DC" w:sz="1"/>
              <w:left w:val="single" w:color="CFD8DC" w:sz="1"/>
              <w:bottom w:val="single" w:color="CFD8DC" w:sz="1"/>
              <w:right w:val="single" w:color="CFD8DC" w:sz="1"/>
            </w:tcBorders>
            <w:shd w:fill="FAFAFA" w:val="clear"/>
            <w:tcMar>
              <w:top w:type="dxa" w:w="160"/>
              <w:left w:type="dxa" w:w="200"/>
              <w:bottom w:type="dxa" w:w="160"/>
              <w:right w:type="dxa" w:w="200"/>
            </w:tcMar>
          </w:tcPr>
          <w:p>
            <w:pPr>
              <w:spacing w:after="0" w:line="260"/>
            </w:pPr>
            <w:r>
              <w:rPr>
                <w:rFonts w:ascii="Courier New" w:cs="Courier New" w:eastAsia="Courier New" w:hAnsi="Courier New"/>
                <w:color w:val="263238"/>
                <w:sz w:val="18"/>
                <w:szCs w:val="18"/>
              </w:rPr>
              <w:t xml:space="preserve">-- Count first-ever USDT transfer per wallet (new user activations)</w:t>
            </w:r>
          </w:p>
          <w:p>
            <w:pPr>
              <w:spacing w:after="0" w:line="260"/>
            </w:pPr>
            <w:r>
              <w:rPr>
                <w:rFonts w:ascii="Courier New" w:cs="Courier New" w:eastAsia="Courier New" w:hAnsi="Courier New"/>
                <w:color w:val="263238"/>
                <w:sz w:val="18"/>
                <w:szCs w:val="18"/>
              </w:rPr>
              <w:t xml:space="preserve">-- Use to correlate with macro events (devaluations, crises)</w:t>
            </w:r>
          </w:p>
          <w:p>
            <w:pPr>
              <w:spacing w:after="0" w:line="260"/>
            </w:pPr>
            <w:r>
              <w:rPr>
                <w:rFonts w:ascii="Courier New" w:cs="Courier New" w:eastAsia="Courier New" w:hAnsi="Courier New"/>
                <w:color w:val="263238"/>
                <w:sz w:val="18"/>
                <w:szCs w:val="18"/>
              </w:rPr>
              <w:t xml:space="preserve"/>
            </w:r>
          </w:p>
          <w:p>
            <w:pPr>
              <w:spacing w:after="0" w:line="260"/>
            </w:pPr>
            <w:r>
              <w:rPr>
                <w:rFonts w:ascii="Courier New" w:cs="Courier New" w:eastAsia="Courier New" w:hAnsi="Courier New"/>
                <w:color w:val="263238"/>
                <w:sz w:val="18"/>
                <w:szCs w:val="18"/>
              </w:rPr>
              <w:t xml:space="preserve">WITH first_transfers AS (</w:t>
            </w:r>
          </w:p>
          <w:p>
            <w:pPr>
              <w:spacing w:after="0" w:line="260"/>
            </w:pPr>
            <w:r>
              <w:rPr>
                <w:rFonts w:ascii="Courier New" w:cs="Courier New" w:eastAsia="Courier New" w:hAnsi="Courier New"/>
                <w:color w:val="263238"/>
                <w:sz w:val="18"/>
                <w:szCs w:val="18"/>
              </w:rPr>
              <w:t xml:space="preserve">    SELECT</w:t>
            </w:r>
          </w:p>
          <w:p>
            <w:pPr>
              <w:spacing w:after="0" w:line="260"/>
            </w:pPr>
            <w:r>
              <w:rPr>
                <w:rFonts w:ascii="Courier New" w:cs="Courier New" w:eastAsia="Courier New" w:hAnsi="Courier New"/>
                <w:color w:val="263238"/>
                <w:sz w:val="18"/>
                <w:szCs w:val="18"/>
              </w:rPr>
              <w:t xml:space="preserve">        "from"             AS wallet,</w:t>
            </w:r>
          </w:p>
          <w:p>
            <w:pPr>
              <w:spacing w:after="0" w:line="260"/>
            </w:pPr>
            <w:r>
              <w:rPr>
                <w:rFonts w:ascii="Courier New" w:cs="Courier New" w:eastAsia="Courier New" w:hAnsi="Courier New"/>
                <w:color w:val="263238"/>
                <w:sz w:val="18"/>
                <w:szCs w:val="18"/>
              </w:rPr>
              <w:t xml:space="preserve">        MIN(block_time)    AS first_tx_time</w:t>
            </w:r>
          </w:p>
          <w:p>
            <w:pPr>
              <w:spacing w:after="0" w:line="260"/>
            </w:pPr>
            <w:r>
              <w:rPr>
                <w:rFonts w:ascii="Courier New" w:cs="Courier New" w:eastAsia="Courier New" w:hAnsi="Courier New"/>
                <w:color w:val="263238"/>
                <w:sz w:val="18"/>
                <w:szCs w:val="18"/>
              </w:rPr>
              <w:t xml:space="preserve">    FROM tokens_ethereum.transfers</w:t>
            </w:r>
          </w:p>
          <w:p>
            <w:pPr>
              <w:spacing w:after="0" w:line="260"/>
            </w:pPr>
            <w:r>
              <w:rPr>
                <w:rFonts w:ascii="Courier New" w:cs="Courier New" w:eastAsia="Courier New" w:hAnsi="Courier New"/>
                <w:color w:val="263238"/>
                <w:sz w:val="18"/>
                <w:szCs w:val="18"/>
              </w:rPr>
              <w:t xml:space="preserve">    WHERE</w:t>
            </w:r>
          </w:p>
          <w:p>
            <w:pPr>
              <w:spacing w:after="0" w:line="260"/>
            </w:pPr>
            <w:r>
              <w:rPr>
                <w:rFonts w:ascii="Courier New" w:cs="Courier New" w:eastAsia="Courier New" w:hAnsi="Courier New"/>
                <w:color w:val="263238"/>
                <w:sz w:val="18"/>
                <w:szCs w:val="18"/>
              </w:rPr>
              <w:t xml:space="preserve">        symbol = 'USDT'</w:t>
            </w:r>
          </w:p>
          <w:p>
            <w:pPr>
              <w:spacing w:after="0" w:line="260"/>
            </w:pPr>
            <w:r>
              <w:rPr>
                <w:rFonts w:ascii="Courier New" w:cs="Courier New" w:eastAsia="Courier New" w:hAnsi="Courier New"/>
                <w:color w:val="263238"/>
                <w:sz w:val="18"/>
                <w:szCs w:val="18"/>
              </w:rPr>
              <w:t xml:space="preserve">        AND block_time &gt;= TIMESTAMP '2022-01-01'</w:t>
            </w:r>
          </w:p>
          <w:p>
            <w:pPr>
              <w:spacing w:after="0" w:line="260"/>
            </w:pPr>
            <w:r>
              <w:rPr>
                <w:rFonts w:ascii="Courier New" w:cs="Courier New" w:eastAsia="Courier New" w:hAnsi="Courier New"/>
                <w:color w:val="263238"/>
                <w:sz w:val="18"/>
                <w:szCs w:val="18"/>
              </w:rPr>
              <w:t xml:space="preserve">    GROUP BY 1</w:t>
            </w:r>
          </w:p>
          <w:p>
            <w:pPr>
              <w:spacing w:after="0" w:line="260"/>
            </w:pPr>
            <w:r>
              <w:rPr>
                <w:rFonts w:ascii="Courier New" w:cs="Courier New" w:eastAsia="Courier New" w:hAnsi="Courier New"/>
                <w:color w:val="263238"/>
                <w:sz w:val="18"/>
                <w:szCs w:val="18"/>
              </w:rPr>
              <w:t xml:space="preserve">)</w:t>
            </w:r>
          </w:p>
          <w:p>
            <w:pPr>
              <w:spacing w:after="0" w:line="260"/>
            </w:pPr>
            <w:r>
              <w:rPr>
                <w:rFonts w:ascii="Courier New" w:cs="Courier New" w:eastAsia="Courier New" w:hAnsi="Courier New"/>
                <w:color w:val="263238"/>
                <w:sz w:val="18"/>
                <w:szCs w:val="18"/>
              </w:rPr>
              <w:t xml:space="preserve"/>
            </w:r>
          </w:p>
          <w:p>
            <w:pPr>
              <w:spacing w:after="0" w:line="260"/>
            </w:pPr>
            <w:r>
              <w:rPr>
                <w:rFonts w:ascii="Courier New" w:cs="Courier New" w:eastAsia="Courier New" w:hAnsi="Courier New"/>
                <w:color w:val="263238"/>
                <w:sz w:val="18"/>
                <w:szCs w:val="18"/>
              </w:rPr>
              <w:t xml:space="preserve">SELECT</w:t>
            </w:r>
          </w:p>
          <w:p>
            <w:pPr>
              <w:spacing w:after="0" w:line="260"/>
            </w:pPr>
            <w:r>
              <w:rPr>
                <w:rFonts w:ascii="Courier New" w:cs="Courier New" w:eastAsia="Courier New" w:hAnsi="Courier New"/>
                <w:color w:val="263238"/>
                <w:sz w:val="18"/>
                <w:szCs w:val="18"/>
              </w:rPr>
              <w:t xml:space="preserve">    DATE_TRUNC('month', first_tx_time)  AS month,</w:t>
            </w:r>
          </w:p>
          <w:p>
            <w:pPr>
              <w:spacing w:after="0" w:line="260"/>
            </w:pPr>
            <w:r>
              <w:rPr>
                <w:rFonts w:ascii="Courier New" w:cs="Courier New" w:eastAsia="Courier New" w:hAnsi="Courier New"/>
                <w:color w:val="263238"/>
                <w:sz w:val="18"/>
                <w:szCs w:val="18"/>
              </w:rPr>
              <w:t xml:space="preserve">    COUNT(*)                            AS new_wallets</w:t>
            </w:r>
          </w:p>
          <w:p>
            <w:pPr>
              <w:spacing w:after="0" w:line="260"/>
            </w:pPr>
            <w:r>
              <w:rPr>
                <w:rFonts w:ascii="Courier New" w:cs="Courier New" w:eastAsia="Courier New" w:hAnsi="Courier New"/>
                <w:color w:val="263238"/>
                <w:sz w:val="18"/>
                <w:szCs w:val="18"/>
              </w:rPr>
              <w:t xml:space="preserve"/>
            </w:r>
          </w:p>
          <w:p>
            <w:pPr>
              <w:spacing w:after="0" w:line="260"/>
            </w:pPr>
            <w:r>
              <w:rPr>
                <w:rFonts w:ascii="Courier New" w:cs="Courier New" w:eastAsia="Courier New" w:hAnsi="Courier New"/>
                <w:color w:val="263238"/>
                <w:sz w:val="18"/>
                <w:szCs w:val="18"/>
              </w:rPr>
              <w:t xml:space="preserve">FROM first_transfers</w:t>
            </w:r>
          </w:p>
          <w:p>
            <w:pPr>
              <w:spacing w:after="0" w:line="260"/>
            </w:pPr>
            <w:r>
              <w:rPr>
                <w:rFonts w:ascii="Courier New" w:cs="Courier New" w:eastAsia="Courier New" w:hAnsi="Courier New"/>
                <w:color w:val="263238"/>
                <w:sz w:val="18"/>
                <w:szCs w:val="18"/>
              </w:rPr>
              <w:t xml:space="preserve">GROUP BY 1</w:t>
            </w:r>
          </w:p>
          <w:p>
            <w:pPr>
              <w:spacing w:after="0" w:line="260"/>
            </w:pPr>
            <w:r>
              <w:rPr>
                <w:rFonts w:ascii="Courier New" w:cs="Courier New" w:eastAsia="Courier New" w:hAnsi="Courier New"/>
                <w:color w:val="263238"/>
                <w:sz w:val="18"/>
                <w:szCs w:val="18"/>
              </w:rPr>
              <w:t xml:space="preserve">ORDER BY 1 ASC</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E3F2FD" w:val="clear"/>
            <w:tcMar>
              <w:top w:type="dxa" w:w="80"/>
              <w:left w:type="dxa" w:w="160"/>
              <w:bottom w:type="dxa" w:w="80"/>
              <w:right w:type="dxa" w:w="160"/>
            </w:tcMar>
          </w:tcPr>
          <w:p>
            <w:pPr>
              <w:spacing w:after="0"/>
            </w:pPr>
            <w:r>
              <w:rPr>
                <w:rFonts w:ascii="Courier New" w:cs="Courier New" w:eastAsia="Courier New" w:hAnsi="Courier New"/>
                <w:b/>
                <w:bCs/>
                <w:color w:val="1565C0"/>
                <w:sz w:val="20"/>
                <w:szCs w:val="20"/>
              </w:rPr>
              <w:t xml:space="preserve">Query 4 · Stablecoin Supply Share by Chain</w:t>
            </w:r>
            <w:r>
              <w:rPr>
                <w:rFonts w:ascii="Courier New" w:cs="Courier New" w:eastAsia="Courier New" w:hAnsi="Courier New"/>
                <w:color w:val="546E7A"/>
                <w:sz w:val="18"/>
                <w:szCs w:val="18"/>
              </w:rPr>
              <w:t xml:space="preserve">   [stablecoins.supply]</w:t>
            </w:r>
          </w:p>
        </w:tc>
      </w:tr>
      <w:tr>
        <w:tc>
          <w:tcPr>
            <w:tcW w:type="dxa" w:w="9360"/>
            <w:tcBorders>
              <w:top w:val="single" w:color="CFD8DC" w:sz="1"/>
              <w:left w:val="single" w:color="CFD8DC" w:sz="1"/>
              <w:bottom w:val="single" w:color="CFD8DC" w:sz="1"/>
              <w:right w:val="single" w:color="CFD8DC" w:sz="1"/>
            </w:tcBorders>
            <w:shd w:fill="FAFAFA" w:val="clear"/>
            <w:tcMar>
              <w:top w:type="dxa" w:w="160"/>
              <w:left w:type="dxa" w:w="200"/>
              <w:bottom w:type="dxa" w:w="160"/>
              <w:right w:type="dxa" w:w="200"/>
            </w:tcMar>
          </w:tcPr>
          <w:p>
            <w:pPr>
              <w:spacing w:after="0" w:line="260"/>
            </w:pPr>
            <w:r>
              <w:rPr>
                <w:rFonts w:ascii="Courier New" w:cs="Courier New" w:eastAsia="Courier New" w:hAnsi="Courier New"/>
                <w:color w:val="263238"/>
                <w:sz w:val="18"/>
                <w:szCs w:val="18"/>
              </w:rPr>
              <w:t xml:space="preserve">-- Compare USDT supply distribution across chains</w:t>
            </w:r>
          </w:p>
          <w:p>
            <w:pPr>
              <w:spacing w:after="0" w:line="260"/>
            </w:pPr>
            <w:r>
              <w:rPr>
                <w:rFonts w:ascii="Courier New" w:cs="Courier New" w:eastAsia="Courier New" w:hAnsi="Courier New"/>
                <w:color w:val="263238"/>
                <w:sz w:val="18"/>
                <w:szCs w:val="18"/>
              </w:rPr>
              <w:t xml:space="preserve">-- Reveals which chains retail users prefer</w:t>
            </w:r>
          </w:p>
          <w:p>
            <w:pPr>
              <w:spacing w:after="0" w:line="260"/>
            </w:pPr>
            <w:r>
              <w:rPr>
                <w:rFonts w:ascii="Courier New" w:cs="Courier New" w:eastAsia="Courier New" w:hAnsi="Courier New"/>
                <w:color w:val="263238"/>
                <w:sz w:val="18"/>
                <w:szCs w:val="18"/>
              </w:rPr>
              <w:t xml:space="preserve"/>
            </w:r>
          </w:p>
          <w:p>
            <w:pPr>
              <w:spacing w:after="0" w:line="260"/>
            </w:pPr>
            <w:r>
              <w:rPr>
                <w:rFonts w:ascii="Courier New" w:cs="Courier New" w:eastAsia="Courier New" w:hAnsi="Courier New"/>
                <w:color w:val="263238"/>
                <w:sz w:val="18"/>
                <w:szCs w:val="18"/>
              </w:rPr>
              <w:t xml:space="preserve">SELECT</w:t>
            </w:r>
          </w:p>
          <w:p>
            <w:pPr>
              <w:spacing w:after="0" w:line="260"/>
            </w:pPr>
            <w:r>
              <w:rPr>
                <w:rFonts w:ascii="Courier New" w:cs="Courier New" w:eastAsia="Courier New" w:hAnsi="Courier New"/>
                <w:color w:val="263238"/>
                <w:sz w:val="18"/>
                <w:szCs w:val="18"/>
              </w:rPr>
              <w:t xml:space="preserve">    blockchain,</w:t>
            </w:r>
          </w:p>
          <w:p>
            <w:pPr>
              <w:spacing w:after="0" w:line="260"/>
            </w:pPr>
            <w:r>
              <w:rPr>
                <w:rFonts w:ascii="Courier New" w:cs="Courier New" w:eastAsia="Courier New" w:hAnsi="Courier New"/>
                <w:color w:val="263238"/>
                <w:sz w:val="18"/>
                <w:szCs w:val="18"/>
              </w:rPr>
              <w:t xml:space="preserve">    symbol,</w:t>
            </w:r>
          </w:p>
          <w:p>
            <w:pPr>
              <w:spacing w:after="0" w:line="260"/>
            </w:pPr>
            <w:r>
              <w:rPr>
                <w:rFonts w:ascii="Courier New" w:cs="Courier New" w:eastAsia="Courier New" w:hAnsi="Courier New"/>
                <w:color w:val="263238"/>
                <w:sz w:val="18"/>
                <w:szCs w:val="18"/>
              </w:rPr>
              <w:t xml:space="preserve">    SUM(supply)                        AS total_supply,</w:t>
            </w:r>
          </w:p>
          <w:p>
            <w:pPr>
              <w:spacing w:after="0" w:line="260"/>
            </w:pPr>
            <w:r>
              <w:rPr>
                <w:rFonts w:ascii="Courier New" w:cs="Courier New" w:eastAsia="Courier New" w:hAnsi="Courier New"/>
                <w:color w:val="263238"/>
                <w:sz w:val="18"/>
                <w:szCs w:val="18"/>
              </w:rPr>
              <w:t xml:space="preserve">    ROUND(</w:t>
            </w:r>
          </w:p>
          <w:p>
            <w:pPr>
              <w:spacing w:after="0" w:line="260"/>
            </w:pPr>
            <w:r>
              <w:rPr>
                <w:rFonts w:ascii="Courier New" w:cs="Courier New" w:eastAsia="Courier New" w:hAnsi="Courier New"/>
                <w:color w:val="263238"/>
                <w:sz w:val="18"/>
                <w:szCs w:val="18"/>
              </w:rPr>
              <w:t xml:space="preserve">        SUM(supply) * 100.0</w:t>
            </w:r>
          </w:p>
          <w:p>
            <w:pPr>
              <w:spacing w:after="0" w:line="260"/>
            </w:pPr>
            <w:r>
              <w:rPr>
                <w:rFonts w:ascii="Courier New" w:cs="Courier New" w:eastAsia="Courier New" w:hAnsi="Courier New"/>
                <w:color w:val="263238"/>
                <w:sz w:val="18"/>
                <w:szCs w:val="18"/>
              </w:rPr>
              <w:t xml:space="preserve">        / SUM(SUM(supply)) OVER (</w:t>
            </w:r>
          </w:p>
          <w:p>
            <w:pPr>
              <w:spacing w:after="0" w:line="260"/>
            </w:pPr>
            <w:r>
              <w:rPr>
                <w:rFonts w:ascii="Courier New" w:cs="Courier New" w:eastAsia="Courier New" w:hAnsi="Courier New"/>
                <w:color w:val="263238"/>
                <w:sz w:val="18"/>
                <w:szCs w:val="18"/>
              </w:rPr>
              <w:t xml:space="preserve">            PARTITION BY symbol</w:t>
            </w:r>
          </w:p>
          <w:p>
            <w:pPr>
              <w:spacing w:after="0" w:line="260"/>
            </w:pPr>
            <w:r>
              <w:rPr>
                <w:rFonts w:ascii="Courier New" w:cs="Courier New" w:eastAsia="Courier New" w:hAnsi="Courier New"/>
                <w:color w:val="263238"/>
                <w:sz w:val="18"/>
                <w:szCs w:val="18"/>
              </w:rPr>
              <w:t xml:space="preserve">          ), 2</w:t>
            </w:r>
          </w:p>
          <w:p>
            <w:pPr>
              <w:spacing w:after="0" w:line="260"/>
            </w:pPr>
            <w:r>
              <w:rPr>
                <w:rFonts w:ascii="Courier New" w:cs="Courier New" w:eastAsia="Courier New" w:hAnsi="Courier New"/>
                <w:color w:val="263238"/>
                <w:sz w:val="18"/>
                <w:szCs w:val="18"/>
              </w:rPr>
              <w:t xml:space="preserve">    )                                  AS chain_share_pct</w:t>
            </w:r>
          </w:p>
          <w:p>
            <w:pPr>
              <w:spacing w:after="0" w:line="260"/>
            </w:pPr>
            <w:r>
              <w:rPr>
                <w:rFonts w:ascii="Courier New" w:cs="Courier New" w:eastAsia="Courier New" w:hAnsi="Courier New"/>
                <w:color w:val="263238"/>
                <w:sz w:val="18"/>
                <w:szCs w:val="18"/>
              </w:rPr>
              <w:t xml:space="preserve"/>
            </w:r>
          </w:p>
          <w:p>
            <w:pPr>
              <w:spacing w:after="0" w:line="260"/>
            </w:pPr>
            <w:r>
              <w:rPr>
                <w:rFonts w:ascii="Courier New" w:cs="Courier New" w:eastAsia="Courier New" w:hAnsi="Courier New"/>
                <w:color w:val="263238"/>
                <w:sz w:val="18"/>
                <w:szCs w:val="18"/>
              </w:rPr>
              <w:t xml:space="preserve">FROM stablecoins.supply</w:t>
            </w:r>
          </w:p>
          <w:p>
            <w:pPr>
              <w:spacing w:after="0" w:line="260"/>
            </w:pPr>
            <w:r>
              <w:rPr>
                <w:rFonts w:ascii="Courier New" w:cs="Courier New" w:eastAsia="Courier New" w:hAnsi="Courier New"/>
                <w:color w:val="263238"/>
                <w:sz w:val="18"/>
                <w:szCs w:val="18"/>
              </w:rPr>
              <w:t xml:space="preserve"/>
            </w:r>
          </w:p>
          <w:p>
            <w:pPr>
              <w:spacing w:after="0" w:line="260"/>
            </w:pPr>
            <w:r>
              <w:rPr>
                <w:rFonts w:ascii="Courier New" w:cs="Courier New" w:eastAsia="Courier New" w:hAnsi="Courier New"/>
                <w:color w:val="263238"/>
                <w:sz w:val="18"/>
                <w:szCs w:val="18"/>
              </w:rPr>
              <w:t xml:space="preserve">WHERE</w:t>
            </w:r>
          </w:p>
          <w:p>
            <w:pPr>
              <w:spacing w:after="0" w:line="260"/>
            </w:pPr>
            <w:r>
              <w:rPr>
                <w:rFonts w:ascii="Courier New" w:cs="Courier New" w:eastAsia="Courier New" w:hAnsi="Courier New"/>
                <w:color w:val="263238"/>
                <w:sz w:val="18"/>
                <w:szCs w:val="18"/>
              </w:rPr>
              <w:t xml:space="preserve">    symbol IN ('USDT', 'USDC')</w:t>
            </w:r>
          </w:p>
          <w:p>
            <w:pPr>
              <w:spacing w:after="0" w:line="260"/>
            </w:pPr>
            <w:r>
              <w:rPr>
                <w:rFonts w:ascii="Courier New" w:cs="Courier New" w:eastAsia="Courier New" w:hAnsi="Courier New"/>
                <w:color w:val="263238"/>
                <w:sz w:val="18"/>
                <w:szCs w:val="18"/>
              </w:rPr>
              <w:t xml:space="preserve">    AND DATE_TRUNC('day', date) = CURRENT_DATE - INTERVAL '1' day</w:t>
            </w:r>
          </w:p>
          <w:p>
            <w:pPr>
              <w:spacing w:after="0" w:line="260"/>
            </w:pPr>
            <w:r>
              <w:rPr>
                <w:rFonts w:ascii="Courier New" w:cs="Courier New" w:eastAsia="Courier New" w:hAnsi="Courier New"/>
                <w:color w:val="263238"/>
                <w:sz w:val="18"/>
                <w:szCs w:val="18"/>
              </w:rPr>
              <w:t xml:space="preserve"/>
            </w:r>
          </w:p>
          <w:p>
            <w:pPr>
              <w:spacing w:after="0" w:line="260"/>
            </w:pPr>
            <w:r>
              <w:rPr>
                <w:rFonts w:ascii="Courier New" w:cs="Courier New" w:eastAsia="Courier New" w:hAnsi="Courier New"/>
                <w:color w:val="263238"/>
                <w:sz w:val="18"/>
                <w:szCs w:val="18"/>
              </w:rPr>
              <w:t xml:space="preserve">GROUP BY 1, 2</w:t>
            </w:r>
          </w:p>
          <w:p>
            <w:pPr>
              <w:spacing w:after="0" w:line="260"/>
            </w:pPr>
            <w:r>
              <w:rPr>
                <w:rFonts w:ascii="Courier New" w:cs="Courier New" w:eastAsia="Courier New" w:hAnsi="Courier New"/>
                <w:color w:val="263238"/>
                <w:sz w:val="18"/>
                <w:szCs w:val="18"/>
              </w:rPr>
              <w:t xml:space="preserve">ORDER BY symbol, chain_share_pct DESC</w:t>
            </w:r>
          </w:p>
        </w:tc>
      </w:tr>
    </w:tbl>
    <w:p>
      <w:pPr>
        <w:spacing w:after="80" w:before="0"/>
      </w:pPr>
      <w:r>
        <w:t xml:space="preserve"/>
      </w:r>
    </w:p>
    <w:p>
      <w:pPr>
        <w:spacing w:after="60" w:before="400"/>
      </w:pPr>
      <w:r>
        <w:rPr>
          <w:rFonts w:ascii="Courier New" w:cs="Courier New" w:eastAsia="Courier New" w:hAnsi="Courier New"/>
          <w:b/>
          <w:bCs/>
          <w:color w:val="00897B"/>
          <w:sz w:val="18"/>
          <w:szCs w:val="18"/>
        </w:rPr>
        <w:t xml:space="preserve">06 ·  </w:t>
      </w:r>
      <w:r>
        <w:rPr>
          <w:rFonts w:ascii="Courier New" w:cs="Courier New" w:eastAsia="Courier New" w:hAnsi="Courier New"/>
          <w:b/>
          <w:bCs/>
          <w:color w:val="00897B"/>
          <w:spacing w:val="40"/>
          <w:sz w:val="18"/>
          <w:szCs w:val="18"/>
        </w:rPr>
        <w:t xml:space="preserve">CONCLUSION</w:t>
      </w:r>
    </w:p>
    <w:p>
      <w:pPr>
        <w:pStyle w:val="Heading1"/>
        <w:pBdr>
          <w:bottom w:val="single" w:color="00897B" w:sz="8" w:space="4"/>
        </w:pBdr>
        <w:spacing w:after="120" w:before="360"/>
      </w:pPr>
      <w:r>
        <w:rPr>
          <w:rFonts w:ascii="Arial" w:cs="Arial" w:eastAsia="Arial" w:hAnsi="Arial"/>
          <w:b/>
          <w:bCs/>
          <w:color w:val="1A237E"/>
          <w:sz w:val="32"/>
          <w:szCs w:val="32"/>
        </w:rPr>
        <w:t xml:space="preserve">What We Learned</w:t>
      </w:r>
    </w:p>
    <w:p>
      <w:pPr>
        <w:spacing w:after="120" w:before="0" w:line="320"/>
      </w:pPr>
      <w:r>
        <w:rPr>
          <w:rFonts w:ascii="Arial" w:cs="Arial" w:eastAsia="Arial" w:hAnsi="Arial"/>
          <w:color w:val="37474F"/>
          <w:sz w:val="22"/>
          <w:szCs w:val="22"/>
        </w:rPr>
        <w:t xml:space="preserve">The hypothesis was </w:t>
      </w:r>
      <w:r>
        <w:rPr>
          <w:rFonts w:ascii="Arial" w:cs="Arial" w:eastAsia="Arial" w:hAnsi="Arial"/>
          <w:b/>
          <w:bCs/>
          <w:color w:val="212121"/>
          <w:sz w:val="22"/>
          <w:szCs w:val="22"/>
        </w:rPr>
        <w:t xml:space="preserve">largely confirmed</w:t>
      </w:r>
      <w:r>
        <w:rPr>
          <w:rFonts w:ascii="Arial" w:cs="Arial" w:eastAsia="Arial" w:hAnsi="Arial"/>
          <w:color w:val="37474F"/>
          <w:sz w:val="22"/>
          <w:szCs w:val="22"/>
        </w:rPr>
        <w:t xml:space="preserve">. On-chain transfer patterns in high-inflation emerging market economies show behaviour consistent with savings and remittances — not DeFi. The median transfer size ($340), the preference for low-fee chains (Tron), and the strong correlation between currency devaluation events and wallet activations all point to a user base seeking </w:t>
      </w:r>
      <w:r>
        <w:rPr>
          <w:rFonts w:ascii="Arial" w:cs="Arial" w:eastAsia="Arial" w:hAnsi="Arial"/>
          <w:b/>
          <w:bCs/>
          <w:color w:val="212121"/>
          <w:sz w:val="22"/>
          <w:szCs w:val="22"/>
        </w:rPr>
        <w:t xml:space="preserve">dollar stability, not yield</w:t>
      </w:r>
      <w:r>
        <w:rPr>
          <w:rFonts w:ascii="Arial" w:cs="Arial" w:eastAsia="Arial" w:hAnsi="Arial"/>
          <w:color w:val="37474F"/>
          <w:sz w:val="22"/>
          <w:szCs w:val="22"/>
        </w:rPr>
        <w:t xml:space="preserve">.</w:t>
      </w:r>
    </w:p>
    <w:p>
      <w:pPr>
        <w:spacing w:after="120" w:before="0" w:line="320"/>
      </w:pPr>
      <w:r>
        <w:rPr>
          <w:rFonts w:ascii="Arial" w:cs="Arial" w:eastAsia="Arial" w:hAnsi="Arial"/>
          <w:color w:val="37474F"/>
          <w:sz w:val="22"/>
          <w:szCs w:val="22"/>
        </w:rPr>
        <w:t xml:space="preserve">The unexpected finding — adoption clustering around diaspora remittance corridors — suggests that </w:t>
      </w:r>
      <w:r>
        <w:rPr>
          <w:rFonts w:ascii="Arial" w:cs="Arial" w:eastAsia="Arial" w:hAnsi="Arial"/>
          <w:b/>
          <w:bCs/>
          <w:color w:val="212121"/>
          <w:sz w:val="22"/>
          <w:szCs w:val="22"/>
        </w:rPr>
        <w:t xml:space="preserve">social networks and trust</w:t>
      </w:r>
      <w:r>
        <w:rPr>
          <w:rFonts w:ascii="Arial" w:cs="Arial" w:eastAsia="Arial" w:hAnsi="Arial"/>
          <w:color w:val="37474F"/>
          <w:sz w:val="22"/>
          <w:szCs w:val="22"/>
        </w:rPr>
        <w:t xml:space="preserve"> are as important as technology or economics in driving stablecoin adoption. This has implications for Tether's go-to-market strategy: partnerships with remittance providers and diaspora community channels may outperform purely product-led growth in these markets.</w:t>
      </w:r>
    </w:p>
    <w:p>
      <w:pPr>
        <w:spacing w:after="120" w:before="0" w:line="320"/>
      </w:pPr>
      <w:r>
        <w:rPr>
          <w:rFonts w:ascii="Arial" w:cs="Arial" w:eastAsia="Arial" w:hAnsi="Arial"/>
          <w:color w:val="37474F"/>
          <w:sz w:val="22"/>
          <w:szCs w:val="22"/>
        </w:rPr>
        <w:t xml:space="preserve">Future research should explore whether the introduction of regulated stablecoin frameworks (such as MiCA in Europe or Nigeria's proposed digital currency regulations) accelerates or dampens this organic retail adoption trend.</w:t>
      </w:r>
    </w:p>
    <w:p>
      <w:pPr>
        <w:spacing w:after="160" w:before="0"/>
      </w:pPr>
      <w:r>
        <w:t xml:space="preserve"/>
      </w:r>
    </w:p>
    <w:p>
      <w:pPr>
        <w:pBdr>
          <w:top w:val="single" w:color="00897B" w:sz="6" w:space="4"/>
        </w:pBdr>
        <w:spacing w:after="80" w:before="0"/>
      </w:pPr>
    </w:p>
    <w:p>
      <w:pPr>
        <w:spacing w:after="0"/>
      </w:pPr>
      <w:r>
        <w:rPr>
          <w:rFonts w:ascii="Arial" w:cs="Arial" w:eastAsia="Arial" w:hAnsi="Arial"/>
          <w:color w:val="546E7A"/>
          <w:sz w:val="18"/>
          <w:szCs w:val="18"/>
        </w:rPr>
        <w:t xml:space="preserve">Author: Okoro Enyi Reginald Chidera, Data Analyst    ·    Data: Dune Analytics · IMF IFS · Chainalysis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8DC" w:sz="4" w:space="1"/>
      </w:pBdr>
      <w:tabs>
        <w:tab w:val="right" w:pos="9026"/>
      </w:tabs>
      <w:spacing w:before="80"/>
    </w:pPr>
    <w:r>
      <w:rPr>
        <w:rFonts w:ascii="Arial" w:cs="Arial" w:eastAsia="Arial" w:hAnsi="Arial"/>
        <w:color w:val="546E7A"/>
        <w:sz w:val="18"/>
        <w:szCs w:val="18"/>
      </w:rPr>
      <w:t xml:space="preserve">Dune Analytics · IMF IFS · Chainalysis  </w:t>
    </w:r>
    <w:r>
      <w:rPr>
        <w:rFonts w:ascii="Arial" w:cs="Arial" w:eastAsia="Arial" w:hAnsi="Arial"/>
        <w:sz w:val="18"/>
        <w:szCs w:val="18"/>
      </w:rPr>
      <w:t xml:space="preserve">	</w:t>
    </w:r>
    <w:r>
      <w:rPr>
        <w:rFonts w:ascii="Arial" w:cs="Arial" w:eastAsia="Arial" w:hAnsi="Arial"/>
        <w:color w:val="546E7A"/>
        <w:sz w:val="18"/>
        <w:szCs w:val="18"/>
      </w:rPr>
      <w:t xml:space="preserve">Page </w:t>
    </w:r>
    <w:r>
      <w:rPr>
        <w:rFonts w:ascii="Arial" w:cs="Arial" w:eastAsia="Arial" w:hAnsi="Arial"/>
        <w:color w:val="546E7A"/>
        <w:sz w:val="18"/>
        <w:szCs w:val="18"/>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97B" w:sz="6" w:space="1"/>
      </w:pBdr>
      <w:spacing w:after="120"/>
    </w:pPr>
    <w:r>
      <w:rPr>
        <w:rFonts w:ascii="Arial" w:cs="Arial" w:eastAsia="Arial" w:hAnsi="Arial"/>
        <w:color w:val="546E7A"/>
        <w:spacing w:val="20"/>
        <w:sz w:val="18"/>
        <w:szCs w:val="18"/>
      </w:rPr>
      <w:t xml:space="preserve">STABLECOIN ADOPTION IN EMERGING MARKETS</w:t>
    </w:r>
    <w:r>
      <w:rPr>
        <w:rFonts w:ascii="Arial" w:cs="Arial" w:eastAsia="Arial" w:hAnsi="Arial"/>
        <w:color w:val="546E7A"/>
        <w:sz w:val="18"/>
        <w:szCs w:val="18"/>
      </w:rPr>
      <w:t xml:space="preserve">    |    Okoro Enyi Reginald Chidera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74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37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2026-05-22T21:39:04.289Z</dcterms:created>
  <dcterms:modified xsi:type="dcterms:W3CDTF">2026-05-22T21:39:04.290Z</dcterms:modified>
</cp:coreProperties>
</file>

<file path=docProps/custom.xml><?xml version="1.0" encoding="utf-8"?>
<Properties xmlns="http://schemas.openxmlformats.org/officeDocument/2006/custom-properties" xmlns:vt="http://schemas.openxmlformats.org/officeDocument/2006/docPropsVTypes"/>
</file>