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2EB12E27">
      <w:pPr>
        <w:pStyle w:val="Title"/>
        <w:jc w:val="center"/>
      </w:pPr>
      <w:r>
        <w:rPr>
          <w:rFonts w:ascii="Calibri" w:hAnsi="Calibri" w:eastAsia="ＭＳ ゴシック" w:cs="Calibri" w:asciiTheme="majorHAnsi" w:hAnsiTheme="majorHAnsi" w:eastAsiaTheme="majorEastAsia" w:csTheme="majorBidi"/>
          <w:color w:val="17365D" w:themeColor="text2" w:themeShade="BF"/>
          <w:spacing w:val="5"/>
          <w:kern w:val="28"/>
          <w:sz w:val="44"/>
          <w:szCs w:val="52"/>
        </w:rPr>
        <w:t>Ask ADZA Enterprise API</w:t>
      </w:r>
    </w:p>
    <w:p w14:paraId="23D86752">
      <w:pPr>
        <w:jc w:val="center"/>
      </w:pPr>
      <w:r>
        <w:rPr>
          <w:rFonts w:ascii="Cambria" w:hAnsi="Cambria" w:eastAsia="ＭＳ 明朝" w:cs="Cambria" w:asciiTheme="minorHAnsi" w:hAnsiTheme="minorHAnsi" w:eastAsiaTheme="minorEastAsia" w:csTheme="minorBidi"/>
          <w:i/>
          <w:iCs/>
          <w:sz w:val="28"/>
          <w:szCs w:val="22"/>
        </w:rPr>
        <w:t>Product Integration Brief for Olam AGRI</w:t>
      </w:r>
    </w:p>
    <w:p w14:paraId="44636E91">
      <w:pPr>
        <w:spacing w:after="200" w:line="276" w:lineRule="auto"/>
      </w:pPr>
    </w:p>
    <w:p w14:paraId="25E2E784">
      <w:pPr>
        <w:jc w:val="center"/>
      </w:pPr>
      <w:r>
        <w:rPr>
          <w:rFonts w:ascii="Cambria" w:hAnsi="Cambria" w:eastAsia="ＭＳ 明朝" w:cs="Cambria" w:asciiTheme="minorHAnsi" w:hAnsiTheme="minorHAnsi" w:eastAsiaTheme="minorEastAsia" w:csTheme="minorBidi"/>
          <w:sz w:val="20"/>
          <w:szCs w:val="22"/>
        </w:rPr>
        <w:t>Prepared by: OpenTrace</w:t>
      </w:r>
    </w:p>
    <w:p w14:paraId="78010E32">
      <w:pPr>
        <w:jc w:val="center"/>
      </w:pPr>
      <w:r>
        <w:rPr>
          <w:rFonts w:ascii="Cambria" w:hAnsi="Cambria" w:eastAsia="ＭＳ 明朝" w:cs="Cambria" w:asciiTheme="minorHAnsi" w:hAnsiTheme="minorHAnsi" w:eastAsiaTheme="minorEastAsia" w:csTheme="minorBidi"/>
          <w:sz w:val="20"/>
          <w:szCs w:val="22"/>
        </w:rPr>
        <w:t>Date: August 2026</w:t>
      </w:r>
    </w:p>
    <w:p w14:paraId="2A923AEE">
      <w:pPr>
        <w:jc w:val="center"/>
      </w:pPr>
      <w:r>
        <w:rPr>
          <w:rFonts w:ascii="Cambria" w:hAnsi="Cambria" w:eastAsia="ＭＳ 明朝" w:cs="Cambria" w:asciiTheme="minorHAnsi" w:hAnsiTheme="minorHAnsi" w:eastAsiaTheme="minorEastAsia" w:csTheme="minorBidi"/>
          <w:sz w:val="20"/>
          <w:szCs w:val="22"/>
        </w:rPr>
        <w:t>Classification: Confidential — for Olam AGRI partnership discussions</w:t>
      </w:r>
    </w:p>
    <w:p w14:paraId="475BF72B">
      <w:pPr>
        <w:jc w:val="center"/>
      </w:pPr>
      <w:r>
        <w:rPr>
          <w:rFonts w:ascii="Cambria" w:hAnsi="Cambria" w:eastAsia="ＭＳ 明朝" w:cs="Cambria" w:asciiTheme="minorHAnsi" w:hAnsiTheme="minorHAnsi" w:eastAsiaTheme="minorEastAsia" w:csTheme="minorBidi"/>
          <w:sz w:val="20"/>
          <w:szCs w:val="22"/>
        </w:rPr>
        <w:t>Contact: contact@opentrace.africa | opentrace.africa | askadza.africa</w:t>
      </w:r>
    </w:p>
    <w:p w14:paraId="0D80DEC0">
      <w:pPr>
        <w:pageBreakBefore/>
        <w:spacing w:after="200" w:line="276" w:lineRule="auto"/>
      </w:pPr>
      <w:r>
        <w:lastRenderedPageBreak/>
      </w:r>
    </w:p>
    <w:p w14:paraId="7A54B960">
      <w:pPr>
        <w:pStyle w:val="Heading1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A1A1A"/>
          <w:sz w:val="28"/>
          <w:szCs w:val="28"/>
        </w:rPr>
        <w:t>Executive summary</w:t>
      </w:r>
    </w:p>
    <w:p w14:paraId="6782EE1F">
      <w:pPr>
        <w:spacing w:after="200" w:line="276" w:lineRule="auto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OpenTrace is Africa's agricultural intelligence layer — harmonising fragmented climate, production, market, and food-security data across 54 countries into decision-ready intelligence. Ask ADZA is the natural-language interface; the Enterprise API lets institutions like Olam AGRI embed that intelligence directly into procurement systems, risk dashboards, and internal tools — without building data pipelines or hiring analysts in the middle.</w:t>
      </w:r>
    </w:p>
    <w:p w14:paraId="011EEF39">
      <w:pPr>
        <w:spacing w:after="200" w:line="276" w:lineRule="auto"/>
      </w:pPr>
      <w:r>
        <w:rPr>
          <w:rFonts w:ascii="Cambria" w:hAnsi="Cambria" w:eastAsia="ＭＳ 明朝" w:cs="Cambria" w:asciiTheme="minorHAnsi" w:hAnsiTheme="minorHAnsi" w:eastAsiaTheme="minorEastAsia" w:csTheme="minorBidi"/>
          <w:b/>
          <w:bCs/>
          <w:sz w:val="22"/>
          <w:szCs w:val="22"/>
        </w:rPr>
        <w:t>For Olam AGRI, the Enterprise API delivers:</w:t>
      </w:r>
    </w:p>
    <w:p w14:paraId="2D5D7E97">
      <w:pPr>
        <w:pStyle w:val="ListBullet"/>
        <w:ind w:left="360" w:hanging="360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Cross-country supply and production intelligence for sourcing and portfolio decisions</w:t>
      </w:r>
    </w:p>
    <w:p w14:paraId="3292B33D">
      <w:pPr>
        <w:pStyle w:val="ListBullet"/>
        <w:ind w:left="360" w:hanging="360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Market volatility and price trend analysis across African origins</w:t>
      </w:r>
    </w:p>
    <w:p w14:paraId="1CEA5C06">
      <w:pPr>
        <w:pStyle w:val="ListBullet"/>
        <w:ind w:left="360" w:hanging="360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Climate and yield risk signals at national and sub-national levels</w:t>
      </w:r>
    </w:p>
    <w:p w14:paraId="04B65955">
      <w:pPr>
        <w:pStyle w:val="ListBullet"/>
        <w:ind w:left="360" w:hanging="360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Traceable, confidence-scored answers (ACF) with citations to underlying datasets</w:t>
      </w:r>
    </w:p>
    <w:p w14:paraId="259EC27B">
      <w:pPr>
        <w:pStyle w:val="ListBullet"/>
        <w:ind w:left="360" w:hanging="360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Exportable artifacts (CSV, charts, DOCX, PDF) for reports and workflows</w:t>
      </w:r>
    </w:p>
    <w:p w14:paraId="117E1560">
      <w:pPr>
        <w:spacing w:after="200" w:line="276" w:lineRule="auto"/>
      </w:pPr>
      <w:r>
        <w:rPr>
          <w:rFonts w:ascii="Cambria" w:hAnsi="Cambria" w:eastAsia="ＭＳ 明朝" w:cs="Cambria" w:asciiTheme="minorHAnsi" w:hAnsiTheme="minorHAnsi" w:eastAsiaTheme="minorEastAsia" w:csTheme="minorBidi"/>
          <w:i/>
          <w:iCs/>
          <w:sz w:val="22"/>
          <w:szCs w:val="22"/>
        </w:rPr>
        <w:t>"Individuals use Ask ADZA; institutions connect via API." — OpenTrace commercial model</w:t>
      </w:r>
    </w:p>
    <w:p w14:paraId="5D2741D2">
      <w:pPr>
        <w:pStyle w:val="Heading1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A1A1A"/>
          <w:sz w:val="28"/>
          <w:szCs w:val="28"/>
        </w:rPr>
        <w:t>The problem Olam AGRI faces</w:t>
      </w:r>
    </w:p>
    <w:p w14:paraId="38DA4AE8">
      <w:pPr>
        <w:spacing w:after="200" w:line="276" w:lineRule="auto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Africa is central to global agri-supply chains, yet decision-makers often lack a unified view of:</w:t>
      </w:r>
    </w:p>
    <w:p w14:paraId="04BA36C2">
      <w:pPr>
        <w:pStyle w:val="ListBullet"/>
        <w:ind w:left="360" w:hanging="360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Production trends and yield stability across origins</w:t>
      </w:r>
    </w:p>
    <w:p w14:paraId="3B42550D">
      <w:pPr>
        <w:pStyle w:val="ListBullet"/>
        <w:ind w:left="360" w:hanging="360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Climate variability and its impact on supply reliability</w:t>
      </w:r>
    </w:p>
    <w:p w14:paraId="3AAE410A">
      <w:pPr>
        <w:pStyle w:val="ListBullet"/>
        <w:ind w:left="360" w:hanging="360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Regional price dynamics and cross-border trade flows</w:t>
      </w:r>
    </w:p>
    <w:p w14:paraId="7670E9EE">
      <w:pPr>
        <w:pStyle w:val="ListBullet"/>
        <w:ind w:left="360" w:hanging="360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Emerging risks in specific districts and value chains</w:t>
      </w:r>
    </w:p>
    <w:p w14:paraId="63A8165E">
      <w:pPr>
        <w:spacing w:after="200" w:line="276" w:lineRule="auto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Data exists across governments, research bodies, and market systems — but it is fragmented, inconsistent, and not queryable at decision speed. OpenTrace closes that gap.</w:t>
      </w:r>
    </w:p>
    <w:p w14:paraId="17706305">
      <w:pPr>
        <w:pStyle w:val="Heading1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A1A1A"/>
          <w:sz w:val="28"/>
          <w:szCs w:val="28"/>
        </w:rPr>
        <w:t>What OpenTrace provides</w:t>
      </w:r>
    </w:p>
    <w:p w14:paraId="5186414A">
      <w:pPr>
        <w:spacing w:after="200" w:line="276" w:lineRule="auto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OpenTrace is an infrastructure company, not a consultancy. Three pillars: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4320"/>
        <w:gridCol w:w="4320"/>
      </w:tblGrid>
      <w:t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E8E8E8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EAB911">
            <w:pPr>
              <w:spacing w:after="200" w:line="276" w:lineRule="auto"/>
            </w:pPr>
            <w:r/>
            <w:r>
              <w:rPr>
                <w:rFonts w:ascii="Cambria" w:hAnsi="Cambria" w:eastAsia="ＭＳ 明朝" w:cs="Cambria" w:asciiTheme="minorHAnsi" w:hAnsiTheme="minorHAnsi" w:eastAsiaTheme="minorEastAsia" w:csTheme="minorBidi"/>
                <w:b/>
                <w:bCs/>
                <w:sz w:val="20"/>
                <w:szCs w:val="22"/>
              </w:rPr>
              <w:t>Pillar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E8E8E8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65A953">
            <w:pPr>
              <w:spacing w:after="200" w:line="276" w:lineRule="auto"/>
            </w:pPr>
            <w:r/>
            <w:r>
              <w:rPr>
                <w:rFonts w:ascii="Cambria" w:hAnsi="Cambria" w:eastAsia="ＭＳ 明朝" w:cs="Cambria" w:asciiTheme="minorHAnsi" w:hAnsiTheme="minorHAnsi" w:eastAsiaTheme="minorEastAsia" w:csTheme="minorBidi"/>
                <w:b/>
                <w:bCs/>
                <w:sz w:val="20"/>
                <w:szCs w:val="22"/>
              </w:rPr>
              <w:t>Role</w:t>
            </w:r>
          </w:p>
        </w:tc>
      </w:tr>
      <w:t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C1FD94">
            <w:pPr>
              <w:spacing w:after="200" w:line="276" w:lineRule="auto"/>
            </w:pPr>
            <w:r/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0"/>
                <w:szCs w:val="22"/>
              </w:rPr>
              <w:t>OFIA (OpenTrace Federated Intelligence Architecture)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9DA028">
            <w:pPr>
              <w:spacing w:after="200" w:line="276" w:lineRule="auto"/>
            </w:pPr>
            <w:r/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0"/>
                <w:szCs w:val="22"/>
              </w:rPr>
              <w:t>Harmonises and version-controls datasets across global, national, and sub-national levels</w:t>
            </w:r>
          </w:p>
        </w:tc>
      </w:tr>
      <w:t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3E5A16">
            <w:pPr>
              <w:spacing w:after="200" w:line="276" w:lineRule="auto"/>
            </w:pPr>
            <w:r/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0"/>
                <w:szCs w:val="22"/>
              </w:rPr>
              <w:t>ACF (ADZA Confidence Framework)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1094F2">
            <w:pPr>
              <w:spacing w:after="200" w:line="276" w:lineRule="auto"/>
            </w:pPr>
            <w:r/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0"/>
                <w:szCs w:val="22"/>
              </w:rPr>
              <w:t>Attaches honest confidence signals to every answer based on evidence triangulation</w:t>
            </w:r>
          </w:p>
        </w:tc>
      </w:tr>
      <w:t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25B4EB">
            <w:pPr>
              <w:spacing w:after="200" w:line="276" w:lineRule="auto"/>
            </w:pPr>
            <w:r/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0"/>
                <w:szCs w:val="22"/>
              </w:rPr>
              <w:t>Ask ADZA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71A517">
            <w:pPr>
              <w:spacing w:after="200" w:line="276" w:lineRule="auto"/>
            </w:pPr>
            <w:r/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0"/>
                <w:szCs w:val="22"/>
              </w:rPr>
              <w:t>Natural-language interface — web, mobile, WhatsApp, and Enterprise API</w:t>
            </w:r>
          </w:p>
        </w:tc>
      </w:tr>
    </w:tbl>
    <w:p w14:paraId="2ADD15CA">
      <w:pPr>
        <w:spacing w:after="200" w:line="276" w:lineRule="auto"/>
      </w:pPr>
    </w:p>
    <w:p w14:paraId="406C6477">
      <w:pPr>
        <w:spacing w:after="200" w:line="276" w:lineRule="auto"/>
      </w:pPr>
      <w:r>
        <w:rPr>
          <w:rFonts w:ascii="Cambria" w:hAnsi="Cambria" w:eastAsia="ＭＳ 明朝" w:cs="Cambria" w:asciiTheme="minorHAnsi" w:hAnsiTheme="minorHAnsi" w:eastAsiaTheme="minorEastAsia" w:csTheme="minorBidi"/>
          <w:b/>
          <w:bCs/>
          <w:sz w:val="22"/>
          <w:szCs w:val="22"/>
        </w:rPr>
        <w:t>Coverage today: 2B+ data points | 54 African countries | 12+ indicator domains (production, prices, trade, climate, food security, soil, employment, and more)</w:t>
      </w:r>
    </w:p>
    <w:p w14:paraId="2E121F88">
      <w:pPr>
        <w:spacing w:after="200" w:line="276" w:lineRule="auto"/>
      </w:pPr>
      <w:r>
        <w:rPr>
          <w:rFonts w:ascii="Cambria" w:hAnsi="Cambria" w:eastAsia="ＭＳ 明朝" w:cs="Cambria" w:asciiTheme="minorHAnsi" w:hAnsiTheme="minorHAnsi" w:eastAsiaTheme="minorEastAsia" w:csTheme="minorBidi"/>
          <w:b/>
          <w:bCs/>
          <w:sz w:val="22"/>
          <w:szCs w:val="22"/>
        </w:rPr>
        <w:t>Data domains relevant to Olam AGRI:</w:t>
      </w:r>
    </w:p>
    <w:p w14:paraId="3DAB8FA7">
      <w:pPr>
        <w:pStyle w:val="ListBullet"/>
        <w:ind w:left="360" w:hanging="360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Crop production and yield trends (FAOSTAT, sub-national yield where available)</w:t>
      </w:r>
    </w:p>
    <w:p w14:paraId="36522F4B">
      <w:pPr>
        <w:pStyle w:val="ListBullet"/>
        <w:ind w:left="360" w:hanging="360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Market prices and food balance sheets</w:t>
      </w:r>
    </w:p>
    <w:p w14:paraId="3B2D5261">
      <w:pPr>
        <w:pStyle w:val="ListBullet"/>
        <w:ind w:left="360" w:hanging="360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Cross-border trade flows</w:t>
      </w:r>
    </w:p>
    <w:p w14:paraId="62E516DE">
      <w:pPr>
        <w:pStyle w:val="ListBullet"/>
        <w:ind w:left="360" w:hanging="360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Climate and vegetation indices (ERA5, NDVI, NASA POWER)</w:t>
      </w:r>
    </w:p>
    <w:p w14:paraId="4B6EE024">
      <w:pPr>
        <w:pStyle w:val="ListBullet"/>
        <w:ind w:left="360" w:hanging="360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Food security early warning (FEWS NET)</w:t>
      </w:r>
    </w:p>
    <w:p w14:paraId="06AAD05E">
      <w:pPr>
        <w:pStyle w:val="ListBullet"/>
        <w:ind w:left="360" w:hanging="360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Employment and macro indicators for market context</w:t>
      </w:r>
    </w:p>
    <w:p w14:paraId="1B80D0AC">
      <w:pPr>
        <w:pStyle w:val="Heading1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A1A1A"/>
          <w:sz w:val="28"/>
          <w:szCs w:val="28"/>
        </w:rPr>
        <w:t>Enterprise API — how it works</w:t>
      </w:r>
    </w:p>
    <w:p w14:paraId="21727878">
      <w:pPr>
        <w:spacing w:after="200" w:line="276" w:lineRule="auto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The Enterprise API is a RESTful, versioned HTTP service that accepts natural-language questions and returns structured, cited intelligence.</w:t>
      </w:r>
    </w:p>
    <w:p w14:paraId="5EDE23C7">
      <w:pPr>
        <w:spacing w:after="200" w:line="276" w:lineRule="auto"/>
      </w:pPr>
      <w:r>
        <w:rPr>
          <w:rFonts w:ascii="Cambria" w:hAnsi="Cambria" w:eastAsia="ＭＳ 明朝" w:cs="Cambria" w:asciiTheme="minorHAnsi" w:hAnsiTheme="minorHAnsi" w:eastAsiaTheme="minorEastAsia" w:csTheme="minorBidi"/>
          <w:b/>
          <w:bCs/>
          <w:sz w:val="22"/>
          <w:szCs w:val="22"/>
        </w:rPr>
        <w:t>Integration pattern:</w:t>
      </w:r>
    </w:p>
    <w:p w14:paraId="6C6CDC26">
      <w:pPr>
        <w:spacing w:after="0"/>
        <w:ind w:left="360"/>
      </w:pPr>
      <w:r>
        <w:rPr>
          <w:rFonts w:ascii="Consolas" w:hAnsi="Consolas" w:eastAsia="ＭＳ 明朝" w:cs="Consolas" w:eastAsiaTheme="minorEastAsia" w:csTheme="minorBidi"/>
          <w:color w:val="333333"/>
          <w:sz w:val="18"/>
          <w:szCs w:val="22"/>
        </w:rPr>
        <w:t xml:space="preserve">Olam application  →  POST /v1/chat/agribusinesses  →  OpenTrace intelligence engine</w:t>
      </w:r>
    </w:p>
    <w:p w14:paraId="0DD0D87E">
      <w:pPr>
        <w:spacing w:after="0"/>
        <w:ind w:left="360"/>
      </w:pPr>
      <w:r>
        <w:rPr>
          <w:rFonts w:ascii="Consolas" w:hAnsi="Consolas" w:eastAsia="ＭＳ 明朝" w:cs="Consolas" w:eastAsiaTheme="minorEastAsia" w:csTheme="minorBidi"/>
          <w:color w:val="333333"/>
          <w:sz w:val="18"/>
          <w:szCs w:val="22"/>
        </w:rPr>
        <w:t xml:space="preserve">                     (API key in header)              →  Answer + citations + ACF + optional exports</w:t>
      </w:r>
    </w:p>
    <w:p w14:paraId="63E64803">
      <w:pPr>
        <w:spacing w:after="200" w:line="276" w:lineRule="auto"/>
      </w:pPr>
      <w:r>
        <w:rPr>
          <w:rFonts w:ascii="Cambria" w:hAnsi="Cambria" w:eastAsia="ＭＳ 明朝" w:cs="Cambria" w:asciiTheme="minorHAnsi" w:hAnsiTheme="minorHAnsi" w:eastAsiaTheme="minorEastAsia" w:csTheme="minorBidi"/>
          <w:b/>
          <w:bCs/>
          <w:sz w:val="22"/>
          <w:szCs w:val="22"/>
        </w:rPr>
        <w:t>Authentication: Send your API key on every request:</w:t>
      </w:r>
    </w:p>
    <w:p w14:paraId="4030125B">
      <w:pPr>
        <w:spacing w:after="0"/>
        <w:ind w:left="360"/>
      </w:pPr>
      <w:r>
        <w:rPr>
          <w:rFonts w:ascii="Consolas" w:hAnsi="Consolas" w:eastAsia="ＭＳ 明朝" w:cs="Consolas" w:eastAsiaTheme="minorEastAsia" w:csTheme="minorBidi"/>
          <w:color w:val="333333"/>
          <w:sz w:val="18"/>
          <w:szCs w:val="22"/>
        </w:rPr>
        <w:t>X-API-Key: &lt;your-tenant-api-key&gt;</w:t>
      </w:r>
    </w:p>
    <w:p w14:paraId="777248A8">
      <w:pPr>
        <w:spacing w:after="200" w:line="276" w:lineRule="auto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Or:</w:t>
      </w:r>
    </w:p>
    <w:p w14:paraId="39A6EC1D">
      <w:pPr>
        <w:spacing w:after="0"/>
        <w:ind w:left="360"/>
      </w:pPr>
      <w:r>
        <w:rPr>
          <w:rFonts w:ascii="Consolas" w:hAnsi="Consolas" w:eastAsia="ＭＳ 明朝" w:cs="Consolas" w:eastAsiaTheme="minorEastAsia" w:csTheme="minorBidi"/>
          <w:color w:val="333333"/>
          <w:sz w:val="18"/>
          <w:szCs w:val="22"/>
        </w:rPr>
        <w:t>Authorization: Bearer &lt;your-tenant-api-key&gt;</w:t>
      </w:r>
    </w:p>
    <w:p w14:paraId="5D294427">
      <w:pPr>
        <w:spacing w:after="200" w:line="276" w:lineRule="auto"/>
      </w:pPr>
      <w:r>
        <w:rPr>
          <w:rFonts w:ascii="Cambria" w:hAnsi="Cambria" w:eastAsia="ＭＳ 明朝" w:cs="Cambria" w:asciiTheme="minorHAnsi" w:hAnsiTheme="minorHAnsi" w:eastAsiaTheme="minorEastAsia" w:csTheme="minorBidi"/>
          <w:b/>
          <w:bCs/>
          <w:sz w:val="22"/>
          <w:szCs w:val="22"/>
        </w:rPr>
        <w:t>Key capabilities for agribusiness partners: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4320"/>
        <w:gridCol w:w="4320"/>
      </w:tblGrid>
      <w:t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E8E8E8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8D82DF">
            <w:pPr>
              <w:spacing w:after="200" w:line="276" w:lineRule="auto"/>
            </w:pPr>
            <w:r/>
            <w:r>
              <w:rPr>
                <w:rFonts w:ascii="Cambria" w:hAnsi="Cambria" w:eastAsia="ＭＳ 明朝" w:cs="Cambria" w:asciiTheme="minorHAnsi" w:hAnsiTheme="minorHAnsi" w:eastAsiaTheme="minorEastAsia" w:csTheme="minorBidi"/>
                <w:b/>
                <w:bCs/>
                <w:sz w:val="20"/>
                <w:szCs w:val="22"/>
              </w:rPr>
              <w:t>Capability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E8E8E8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B90919">
            <w:pPr>
              <w:spacing w:after="200" w:line="276" w:lineRule="auto"/>
            </w:pPr>
            <w:r/>
            <w:r>
              <w:rPr>
                <w:rFonts w:ascii="Cambria" w:hAnsi="Cambria" w:eastAsia="ＭＳ 明朝" w:cs="Cambria" w:asciiTheme="minorHAnsi" w:hAnsiTheme="minorHAnsi" w:eastAsiaTheme="minorEastAsia" w:csTheme="minorBidi"/>
                <w:b/>
                <w:bCs/>
                <w:sz w:val="20"/>
                <w:szCs w:val="22"/>
              </w:rPr>
              <w:t>Description</w:t>
            </w:r>
          </w:p>
        </w:tc>
      </w:tr>
      <w:t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2F4D01">
            <w:pPr>
              <w:spacing w:after="200" w:line="276" w:lineRule="auto"/>
            </w:pPr>
            <w:r/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0"/>
                <w:szCs w:val="22"/>
              </w:rPr>
              <w:t>Natural-language Q&amp;A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E2D346">
            <w:pPr>
              <w:spacing w:after="200" w:line="276" w:lineRule="auto"/>
            </w:pPr>
            <w:r/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0"/>
                <w:szCs w:val="22"/>
              </w:rPr>
              <w:t>Ask questions in plain English; no SQL or dashboards required</w:t>
            </w:r>
          </w:p>
        </w:tc>
      </w:tr>
      <w:t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14CF59">
            <w:pPr>
              <w:spacing w:after="200" w:line="276" w:lineRule="auto"/>
            </w:pPr>
            <w:r/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0"/>
                <w:szCs w:val="22"/>
              </w:rPr>
              <w:t>Multi-turn conversations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6B660A">
            <w:pPr>
              <w:spacing w:after="200" w:line="276" w:lineRule="auto"/>
            </w:pPr>
            <w:r/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0"/>
                <w:szCs w:val="22"/>
              </w:rPr>
              <w:t>Server-side sessions or client-owned history for copilot-style UX</w:t>
            </w:r>
          </w:p>
        </w:tc>
      </w:tr>
      <w:t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3600A6">
            <w:pPr>
              <w:spacing w:after="200" w:line="276" w:lineRule="auto"/>
            </w:pPr>
            <w:r/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0"/>
                <w:szCs w:val="22"/>
              </w:rPr>
              <w:t>Cross-country comparison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15E7BA">
            <w:pPr>
              <w:spacing w:after="200" w:line="276" w:lineRule="auto"/>
            </w:pPr>
            <w:r/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0"/>
                <w:szCs w:val="22"/>
              </w:rPr>
              <w:t>Compare production, prices, or climate across African origins</w:t>
            </w:r>
          </w:p>
        </w:tc>
      </w:tr>
      <w:t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055C0A">
            <w:pPr>
              <w:spacing w:after="200" w:line="276" w:lineRule="auto"/>
            </w:pPr>
            <w:r/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0"/>
                <w:szCs w:val="22"/>
              </w:rPr>
              <w:t>Structured citations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D948D4">
            <w:pPr>
              <w:spacing w:after="200" w:line="276" w:lineRule="auto"/>
            </w:pPr>
            <w:r/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0"/>
                <w:szCs w:val="22"/>
              </w:rPr>
              <w:t>Every claim links to source datasets (news, research, structured data)</w:t>
            </w:r>
          </w:p>
        </w:tc>
      </w:tr>
      <w:t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59ABA7">
            <w:pPr>
              <w:spacing w:after="200" w:line="276" w:lineRule="auto"/>
            </w:pPr>
            <w:r/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0"/>
                <w:szCs w:val="22"/>
              </w:rPr>
              <w:t>ACF confidence scoring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146A52">
            <w:pPr>
              <w:spacing w:after="200" w:line="276" w:lineRule="auto"/>
            </w:pPr>
            <w:r/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0"/>
                <w:szCs w:val="22"/>
              </w:rPr>
              <w:t>Transparent strong / moderate / limited bands with explanation</w:t>
            </w:r>
          </w:p>
        </w:tc>
      </w:tr>
      <w:t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D75402">
            <w:pPr>
              <w:spacing w:after="200" w:line="276" w:lineRule="auto"/>
            </w:pPr>
            <w:r/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0"/>
                <w:szCs w:val="22"/>
              </w:rPr>
              <w:t>Export artifacts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EEB76B">
            <w:pPr>
              <w:spacing w:after="200" w:line="276" w:lineRule="auto"/>
            </w:pPr>
            <w:r/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0"/>
                <w:szCs w:val="22"/>
              </w:rPr>
              <w:t>CSV, chart (PNG), DOCX, and PDF downloads via signed URLs</w:t>
            </w:r>
          </w:p>
        </w:tc>
      </w:tr>
      <w:t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74CD41">
            <w:pPr>
              <w:spacing w:after="200" w:line="276" w:lineRule="auto"/>
            </w:pPr>
            <w:r/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0"/>
                <w:szCs w:val="22"/>
              </w:rPr>
              <w:t>Usage metering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A091F2">
            <w:pPr>
              <w:spacing w:after="200" w:line="276" w:lineRule="auto"/>
            </w:pPr>
            <w:r/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0"/>
                <w:szCs w:val="22"/>
              </w:rPr>
              <w:t>Token usage returned per request; monthly quotas enforced per tenant</w:t>
            </w:r>
          </w:p>
        </w:tc>
      </w:tr>
    </w:tbl>
    <w:p w14:paraId="78931363">
      <w:pPr>
        <w:spacing w:after="200" w:line="276" w:lineRule="auto"/>
      </w:pPr>
    </w:p>
    <w:p w14:paraId="511F6501">
      <w:pPr>
        <w:spacing w:after="200" w:line="276" w:lineRule="auto"/>
      </w:pPr>
      <w:r>
        <w:rPr>
          <w:rFonts w:ascii="Cambria" w:hAnsi="Cambria" w:eastAsia="ＭＳ 明朝" w:cs="Cambria" w:asciiTheme="minorHAnsi" w:hAnsiTheme="minorHAnsi" w:eastAsiaTheme="minorEastAsia" w:csTheme="minorBidi"/>
          <w:b/>
          <w:bCs/>
          <w:sz w:val="22"/>
          <w:szCs w:val="22"/>
        </w:rPr>
        <w:t>Example questions Olam teams could ask via API:</w:t>
      </w:r>
    </w:p>
    <w:p w14:paraId="2453461B">
      <w:pPr>
        <w:pStyle w:val="ListBullet"/>
        <w:ind w:left="360" w:hanging="360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"Compare maize production trends in Nigeria, Ghana, and Côte d'Ivoire over the last five years."</w:t>
      </w:r>
    </w:p>
    <w:p w14:paraId="0E55F7F6">
      <w:pPr>
        <w:pStyle w:val="ListBullet"/>
        <w:ind w:left="360" w:hanging="360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"Which regions in East Africa show the highest climate stress on coffee yields?"</w:t>
      </w:r>
    </w:p>
    <w:p w14:paraId="7D7ACBAD">
      <w:pPr>
        <w:pStyle w:val="ListBullet"/>
        <w:ind w:left="360" w:hanging="360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"What are retail maize price trends in Ethiopia and Kenya this season?"</w:t>
      </w:r>
    </w:p>
    <w:p w14:paraId="229F09A3">
      <w:pPr>
        <w:pStyle w:val="ListBullet"/>
        <w:ind w:left="360" w:hanging="360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"Export a CSV of rice trade flows for West African countries in 2024."</w:t>
      </w:r>
    </w:p>
    <w:p w14:paraId="5F6A7200">
      <w:pPr>
        <w:pStyle w:val="Heading1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A1A1A"/>
          <w:sz w:val="28"/>
          <w:szCs w:val="28"/>
        </w:rPr>
        <w:t>Integration options for Olam AGRI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2880"/>
        <w:gridCol w:w="2880"/>
        <w:gridCol w:w="2880"/>
      </w:tblGrid>
      <w:t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E8E8E8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546B4A">
            <w:pPr>
              <w:spacing w:after="200" w:line="276" w:lineRule="auto"/>
            </w:pPr>
            <w:r/>
            <w:r>
              <w:rPr>
                <w:rFonts w:ascii="Cambria" w:hAnsi="Cambria" w:eastAsia="ＭＳ 明朝" w:cs="Cambria" w:asciiTheme="minorHAnsi" w:hAnsiTheme="minorHAnsi" w:eastAsiaTheme="minorEastAsia" w:csTheme="minorBidi"/>
                <w:b/>
                <w:bCs/>
                <w:sz w:val="20"/>
                <w:szCs w:val="22"/>
              </w:rPr>
              <w:t>Option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E8E8E8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C27689">
            <w:pPr>
              <w:spacing w:after="200" w:line="276" w:lineRule="auto"/>
            </w:pPr>
            <w:r/>
            <w:r>
              <w:rPr>
                <w:rFonts w:ascii="Cambria" w:hAnsi="Cambria" w:eastAsia="ＭＳ 明朝" w:cs="Cambria" w:asciiTheme="minorHAnsi" w:hAnsiTheme="minorHAnsi" w:eastAsiaTheme="minorEastAsia" w:csTheme="minorBidi"/>
                <w:b/>
                <w:bCs/>
                <w:sz w:val="20"/>
                <w:szCs w:val="22"/>
              </w:rPr>
              <w:t>Description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E8E8E8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967AD5">
            <w:pPr>
              <w:spacing w:after="200" w:line="276" w:lineRule="auto"/>
            </w:pPr>
            <w:r/>
            <w:r>
              <w:rPr>
                <w:rFonts w:ascii="Cambria" w:hAnsi="Cambria" w:eastAsia="ＭＳ 明朝" w:cs="Cambria" w:asciiTheme="minorHAnsi" w:hAnsiTheme="minorHAnsi" w:eastAsiaTheme="minorEastAsia" w:csTheme="minorBidi"/>
                <w:b/>
                <w:bCs/>
                <w:sz w:val="20"/>
                <w:szCs w:val="22"/>
              </w:rPr>
              <w:t>Best for</w:t>
            </w:r>
          </w:p>
        </w:tc>
      </w:tr>
      <w:t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CCC643">
            <w:pPr>
              <w:spacing w:after="200" w:line="276" w:lineRule="auto"/>
            </w:pPr>
            <w:r/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0"/>
                <w:szCs w:val="22"/>
              </w:rPr>
              <w:t>Embedded copilot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4A631F">
            <w:pPr>
              <w:spacing w:after="200" w:line="276" w:lineRule="auto"/>
            </w:pPr>
            <w:r/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0"/>
                <w:szCs w:val="22"/>
              </w:rPr>
              <w:t>API-backed chat widget in procurement or risk portals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EEEB5C">
            <w:pPr>
              <w:spacing w:after="200" w:line="276" w:lineRule="auto"/>
            </w:pPr>
            <w:r/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0"/>
                <w:szCs w:val="22"/>
              </w:rPr>
              <w:t>Analysts and category managers</w:t>
            </w:r>
          </w:p>
        </w:tc>
      </w:tr>
      <w:t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A714E9">
            <w:pPr>
              <w:spacing w:after="200" w:line="276" w:lineRule="auto"/>
            </w:pPr>
            <w:r/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0"/>
                <w:szCs w:val="22"/>
              </w:rPr>
              <w:t>Backend intelligence service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410239">
            <w:pPr>
              <w:spacing w:after="200" w:line="276" w:lineRule="auto"/>
            </w:pPr>
            <w:r/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0"/>
                <w:szCs w:val="22"/>
              </w:rPr>
              <w:t>Server-to-server calls from Olam's risk/scenario models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056AE9">
            <w:pPr>
              <w:spacing w:after="200" w:line="276" w:lineRule="auto"/>
            </w:pPr>
            <w:r/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0"/>
                <w:szCs w:val="22"/>
              </w:rPr>
              <w:t>Automated monitoring and alerts</w:t>
            </w:r>
          </w:p>
        </w:tc>
      </w:tr>
      <w:t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6F8ED7">
            <w:pPr>
              <w:spacing w:after="200" w:line="276" w:lineRule="auto"/>
            </w:pPr>
            <w:r/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0"/>
                <w:szCs w:val="22"/>
              </w:rPr>
              <w:t>Report generation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09A78E">
            <w:pPr>
              <w:spacing w:after="200" w:line="276" w:lineRule="auto"/>
            </w:pPr>
            <w:r/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0"/>
                <w:szCs w:val="22"/>
              </w:rPr>
              <w:t>Scheduled API queries → export artifacts → internal distribution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92B7D1">
            <w:pPr>
              <w:spacing w:after="200" w:line="276" w:lineRule="auto"/>
            </w:pPr>
            <w:r/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0"/>
                <w:szCs w:val="22"/>
              </w:rPr>
              <w:t>Weekly/monthly origin briefings</w:t>
            </w:r>
          </w:p>
        </w:tc>
      </w:tr>
      <w:t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40A86F">
            <w:pPr>
              <w:spacing w:after="200" w:line="276" w:lineRule="auto"/>
            </w:pPr>
            <w:r/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0"/>
                <w:szCs w:val="22"/>
              </w:rPr>
              <w:t>WhatsApp / field channel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C596AD">
            <w:pPr>
              <w:spacing w:after="200" w:line="276" w:lineRule="auto"/>
            </w:pPr>
            <w:r/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0"/>
                <w:szCs w:val="22"/>
              </w:rPr>
              <w:t>Ask ADZA answers surfaced to field teams (future channel)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0BE89E">
            <w:pPr>
              <w:spacing w:after="200" w:line="276" w:lineRule="auto"/>
            </w:pPr>
            <w:r/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0"/>
                <w:szCs w:val="22"/>
              </w:rPr>
              <w:t>Origin managers and agronomists</w:t>
            </w:r>
          </w:p>
        </w:tc>
      </w:tr>
    </w:tbl>
    <w:p w14:paraId="1B9724B4">
      <w:pPr>
        <w:spacing w:after="200" w:line="276" w:lineRule="auto"/>
      </w:pPr>
    </w:p>
    <w:p w14:paraId="23EFF650">
      <w:pPr>
        <w:spacing w:after="200" w:line="276" w:lineRule="auto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OpenTrace does not replace Olam's internal systems. Partners plug into shared intelligence infrastructure — data stays under original licences; OpenTrace monetizes intelligence, not raw data.</w:t>
      </w:r>
    </w:p>
    <w:p w14:paraId="46A381FD">
      <w:pPr>
        <w:pStyle w:val="Heading1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A1A1A"/>
          <w:sz w:val="28"/>
          <w:szCs w:val="28"/>
        </w:rPr>
        <w:t>Data trust and sovereignty</w:t>
      </w:r>
    </w:p>
    <w:p w14:paraId="63F0830C">
      <w:pPr>
        <w:spacing w:after="200" w:line="276" w:lineRule="auto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OpenTrace is built for institutional trust:</w:t>
      </w:r>
    </w:p>
    <w:p w14:paraId="1F559973">
      <w:pPr>
        <w:pStyle w:val="ListBullet"/>
        <w:ind w:left="360" w:hanging="360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Partners retain ownership of any data they contribute; attribution is preserved</w:t>
      </w:r>
    </w:p>
    <w:p w14:paraId="6A8B532B">
      <w:pPr>
        <w:pStyle w:val="ListBullet"/>
        <w:ind w:left="360" w:hanging="360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Source data stays under its original licence — OpenTrace does not relicense third-party datasets</w:t>
      </w:r>
    </w:p>
    <w:p w14:paraId="3A5DCF9E">
      <w:pPr>
        <w:pStyle w:val="ListBullet"/>
        <w:ind w:left="360" w:hanging="360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No black-box scores — every answer is interrogable via citations and ACF</w:t>
      </w:r>
    </w:p>
    <w:p w14:paraId="09ED10B2">
      <w:pPr>
        <w:pStyle w:val="ListBullet"/>
        <w:ind w:left="360" w:hanging="360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Derived intelligence is separate from source data</w:t>
      </w:r>
    </w:p>
    <w:p w14:paraId="0534E26C">
      <w:pPr>
        <w:pStyle w:val="ListBullet"/>
        <w:ind w:left="360" w:hanging="360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ACF triangulation across global (25%), national/regional (40%), and ground/community (35%) evidence tiers</w:t>
      </w:r>
    </w:p>
    <w:p w14:paraId="552184B3">
      <w:pPr>
        <w:pStyle w:val="Heading1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A1A1A"/>
          <w:sz w:val="28"/>
          <w:szCs w:val="28"/>
        </w:rPr>
        <w:t>Commercial model (indicative)</w:t>
      </w:r>
    </w:p>
    <w:p w14:paraId="14F87A89">
      <w:pPr>
        <w:spacing w:after="200" w:line="276" w:lineRule="auto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OpenTrace monetizes intelligence access, not data enclosure: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4320"/>
        <w:gridCol w:w="4320"/>
      </w:tblGrid>
      <w:t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E8E8E8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3CC135">
            <w:pPr>
              <w:spacing w:after="200" w:line="276" w:lineRule="auto"/>
            </w:pPr>
            <w:r/>
            <w:r>
              <w:rPr>
                <w:rFonts w:ascii="Cambria" w:hAnsi="Cambria" w:eastAsia="ＭＳ 明朝" w:cs="Cambria" w:asciiTheme="minorHAnsi" w:hAnsiTheme="minorHAnsi" w:eastAsiaTheme="minorEastAsia" w:csTheme="minorBidi"/>
                <w:b/>
                <w:bCs/>
                <w:sz w:val="20"/>
                <w:szCs w:val="22"/>
              </w:rPr>
              <w:t>Component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E8E8E8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86FDE4">
            <w:pPr>
              <w:spacing w:after="200" w:line="276" w:lineRule="auto"/>
            </w:pPr>
            <w:r/>
            <w:r>
              <w:rPr>
                <w:rFonts w:ascii="Cambria" w:hAnsi="Cambria" w:eastAsia="ＭＳ 明朝" w:cs="Cambria" w:asciiTheme="minorHAnsi" w:hAnsiTheme="minorHAnsi" w:eastAsiaTheme="minorEastAsia" w:csTheme="minorBidi"/>
                <w:b/>
                <w:bCs/>
                <w:sz w:val="20"/>
                <w:szCs w:val="22"/>
              </w:rPr>
              <w:t>Model</w:t>
            </w:r>
          </w:p>
        </w:tc>
      </w:tr>
      <w:t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646EBF">
            <w:pPr>
              <w:spacing w:after="200" w:line="276" w:lineRule="auto"/>
            </w:pPr>
            <w:r/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0"/>
                <w:szCs w:val="22"/>
              </w:rPr>
              <w:t>Platform fee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7C7568">
            <w:pPr>
              <w:spacing w:after="200" w:line="276" w:lineRule="auto"/>
            </w:pPr>
            <w:r/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0"/>
                <w:szCs w:val="22"/>
              </w:rPr>
              <w:t>Annual enterprise licence for API access</w:t>
            </w:r>
          </w:p>
        </w:tc>
      </w:tr>
      <w:t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34812E">
            <w:pPr>
              <w:spacing w:after="200" w:line="276" w:lineRule="auto"/>
            </w:pPr>
            <w:r/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0"/>
                <w:szCs w:val="22"/>
              </w:rPr>
              <w:t>Usage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03F052">
            <w:pPr>
              <w:spacing w:after="200" w:line="276" w:lineRule="auto"/>
            </w:pPr>
            <w:r/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0"/>
                <w:szCs w:val="22"/>
              </w:rPr>
              <w:t>Per-query or per-token consumption above included quota</w:t>
            </w:r>
          </w:p>
        </w:tc>
      </w:tr>
      <w:t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07570E">
            <w:pPr>
              <w:spacing w:after="200" w:line="276" w:lineRule="auto"/>
            </w:pPr>
            <w:r/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0"/>
                <w:szCs w:val="22"/>
              </w:rPr>
              <w:t>Exports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554EAE">
            <w:pPr>
              <w:spacing w:after="200" w:line="276" w:lineRule="auto"/>
            </w:pPr>
            <w:r/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0"/>
                <w:szCs w:val="22"/>
              </w:rPr>
              <w:t>Included in Agribusinesses/Integrated tier; volume tiers for high export use</w:t>
            </w:r>
          </w:p>
        </w:tc>
      </w:tr>
      <w:t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F75142">
            <w:pPr>
              <w:spacing w:after="200" w:line="276" w:lineRule="auto"/>
            </w:pPr>
            <w:r/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0"/>
                <w:szCs w:val="22"/>
              </w:rPr>
              <w:t>Custom scope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078782">
            <w:pPr>
              <w:spacing w:after="200" w:line="276" w:lineRule="auto"/>
            </w:pPr>
            <w:r/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0"/>
                <w:szCs w:val="22"/>
              </w:rPr>
              <w:t>Optional add-ons: additional countries, proprietary data integration, co-branded exports</w:t>
            </w:r>
          </w:p>
        </w:tc>
      </w:tr>
      <w:t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4A2F57">
            <w:pPr>
              <w:spacing w:after="200" w:line="276" w:lineRule="auto"/>
            </w:pPr>
            <w:r/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0"/>
                <w:szCs w:val="22"/>
              </w:rPr>
              <w:t>Pilot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BC6739">
            <w:pPr>
              <w:spacing w:after="200" w:line="276" w:lineRule="auto"/>
            </w:pPr>
            <w:r/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0"/>
                <w:szCs w:val="22"/>
              </w:rPr>
              <w:t>Reduced-fee or fee-waived sandbox period (typically 4–8 weeks) to validate use cases</w:t>
            </w:r>
          </w:p>
        </w:tc>
      </w:tr>
    </w:tbl>
    <w:p w14:paraId="4A96C850">
      <w:pPr>
        <w:spacing w:after="200" w:line="276" w:lineRule="auto"/>
      </w:pPr>
    </w:p>
    <w:p w14:paraId="2F5FF846">
      <w:pPr>
        <w:spacing w:after="200" w:line="276" w:lineRule="auto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Specific pricing is scoped during partnership discovery based on query volume, countries, and integration depth.</w:t>
      </w:r>
    </w:p>
    <w:p w14:paraId="0CCFA3D1">
      <w:pPr>
        <w:pStyle w:val="Heading1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A1A1A"/>
          <w:sz w:val="28"/>
          <w:szCs w:val="28"/>
        </w:rPr>
        <w:t>Technical requirements (Olam side)</w:t>
      </w:r>
    </w:p>
    <w:p w14:paraId="4EC879DA">
      <w:pPr>
        <w:spacing w:after="200" w:line="276" w:lineRule="auto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Minimal integration footprint:</w:t>
      </w:r>
    </w:p>
    <w:p w14:paraId="1A9BE0B1">
      <w:pPr>
        <w:pStyle w:val="ListBullet"/>
        <w:ind w:left="360" w:hanging="360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HTTPS client capable of POST requests with JSON body</w:t>
      </w:r>
    </w:p>
    <w:p w14:paraId="759F1642">
      <w:pPr>
        <w:pStyle w:val="ListBullet"/>
        <w:ind w:left="360" w:hanging="360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API key storage in Olam's secrets management (server-side only; never in client apps)</w:t>
      </w:r>
    </w:p>
    <w:p w14:paraId="5E7DE662">
      <w:pPr>
        <w:pStyle w:val="ListBullet"/>
        <w:ind w:left="360" w:hanging="360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Session handling — reuse session_id for multi-turn, or pass chat_history for stateless calls</w:t>
      </w:r>
    </w:p>
    <w:p w14:paraId="5AC04AE1">
      <w:pPr>
        <w:pStyle w:val="ListBullet"/>
        <w:ind w:left="360" w:hanging="360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Citation rendering — map inline [N] footnotes to citation cards in your UI (optional but recommended)</w:t>
      </w:r>
    </w:p>
    <w:p w14:paraId="7C84743A">
      <w:pPr>
        <w:pStyle w:val="ListBullet"/>
        <w:ind w:left="360" w:hanging="360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Export handling — download artifacts from signed GCS URLs returned in artifacts[]</w:t>
      </w:r>
    </w:p>
    <w:p w14:paraId="306A220E">
      <w:pPr>
        <w:spacing w:after="200" w:line="276" w:lineRule="auto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Full technical reference: Enterprise Integration Guide and OpenAPI spec (available on request).</w:t>
      </w:r>
    </w:p>
    <w:p w14:paraId="06265895">
      <w:pPr>
        <w:pStyle w:val="Heading1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A1A1A"/>
          <w:sz w:val="28"/>
          <w:szCs w:val="28"/>
        </w:rPr>
        <w:t>Proposed partnership journey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2880"/>
        <w:gridCol w:w="2880"/>
        <w:gridCol w:w="2880"/>
      </w:tblGrid>
      <w:t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E8E8E8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BF416B">
            <w:pPr>
              <w:spacing w:after="200" w:line="276" w:lineRule="auto"/>
            </w:pPr>
            <w:r/>
            <w:r>
              <w:rPr>
                <w:rFonts w:ascii="Cambria" w:hAnsi="Cambria" w:eastAsia="ＭＳ 明朝" w:cs="Cambria" w:asciiTheme="minorHAnsi" w:hAnsiTheme="minorHAnsi" w:eastAsiaTheme="minorEastAsia" w:csTheme="minorBidi"/>
                <w:b/>
                <w:bCs/>
                <w:sz w:val="20"/>
                <w:szCs w:val="22"/>
              </w:rPr>
              <w:t>Stage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E8E8E8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B1D795">
            <w:pPr>
              <w:spacing w:after="200" w:line="276" w:lineRule="auto"/>
            </w:pPr>
            <w:r/>
            <w:r>
              <w:rPr>
                <w:rFonts w:ascii="Cambria" w:hAnsi="Cambria" w:eastAsia="ＭＳ 明朝" w:cs="Cambria" w:asciiTheme="minorHAnsi" w:hAnsiTheme="minorHAnsi" w:eastAsiaTheme="minorEastAsia" w:csTheme="minorBidi"/>
                <w:b/>
                <w:bCs/>
                <w:sz w:val="20"/>
                <w:szCs w:val="22"/>
              </w:rPr>
              <w:t>Activities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E8E8E8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307CB8">
            <w:pPr>
              <w:spacing w:after="200" w:line="276" w:lineRule="auto"/>
            </w:pPr>
            <w:r/>
            <w:r>
              <w:rPr>
                <w:rFonts w:ascii="Cambria" w:hAnsi="Cambria" w:eastAsia="ＭＳ 明朝" w:cs="Cambria" w:asciiTheme="minorHAnsi" w:hAnsiTheme="minorHAnsi" w:eastAsiaTheme="minorEastAsia" w:csTheme="minorBidi"/>
                <w:b/>
                <w:bCs/>
                <w:sz w:val="20"/>
                <w:szCs w:val="22"/>
              </w:rPr>
              <w:t>Duration</w:t>
            </w:r>
          </w:p>
        </w:tc>
      </w:tr>
      <w:t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A7D1A0">
            <w:pPr>
              <w:spacing w:after="200" w:line="276" w:lineRule="auto"/>
            </w:pPr>
            <w:r/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0"/>
                <w:szCs w:val="22"/>
              </w:rPr>
              <w:t>1. Discovery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4215FC">
            <w:pPr>
              <w:spacing w:after="200" w:line="276" w:lineRule="auto"/>
            </w:pPr>
            <w:r/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0"/>
                <w:szCs w:val="22"/>
              </w:rPr>
              <w:t>Map Olam use cases (sourcing, risk, origins); agree success metrics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CD5E2B">
            <w:pPr>
              <w:spacing w:after="200" w:line="276" w:lineRule="auto"/>
            </w:pPr>
            <w:r/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0"/>
                <w:szCs w:val="22"/>
              </w:rPr>
              <w:t>1–2 weeks</w:t>
            </w:r>
          </w:p>
        </w:tc>
      </w:tr>
      <w:t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7D74F1">
            <w:pPr>
              <w:spacing w:after="200" w:line="276" w:lineRule="auto"/>
            </w:pPr>
            <w:r/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0"/>
                <w:szCs w:val="22"/>
              </w:rPr>
              <w:t>2. Sandbox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3FB11E">
            <w:pPr>
              <w:spacing w:after="200" w:line="276" w:lineRule="auto"/>
            </w:pPr>
            <w:r/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0"/>
                <w:szCs w:val="22"/>
              </w:rPr>
              <w:t>API key, test environment, sample integration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7A9DFF">
            <w:pPr>
              <w:spacing w:after="200" w:line="276" w:lineRule="auto"/>
            </w:pPr>
            <w:r/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0"/>
                <w:szCs w:val="22"/>
              </w:rPr>
              <w:t>1 week</w:t>
            </w:r>
          </w:p>
        </w:tc>
      </w:tr>
      <w:t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C0F336">
            <w:pPr>
              <w:spacing w:after="200" w:line="276" w:lineRule="auto"/>
            </w:pPr>
            <w:r/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0"/>
                <w:szCs w:val="22"/>
              </w:rPr>
              <w:t>3. Pilot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C16470">
            <w:pPr>
              <w:spacing w:after="200" w:line="276" w:lineRule="auto"/>
            </w:pPr>
            <w:r/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0"/>
                <w:szCs w:val="22"/>
              </w:rPr>
              <w:t>Live integration in 2–3 workflows; joint evaluation of accuracy and citation quality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0D8DD1">
            <w:pPr>
              <w:spacing w:after="200" w:line="276" w:lineRule="auto"/>
            </w:pPr>
            <w:r/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0"/>
                <w:szCs w:val="22"/>
              </w:rPr>
              <w:t>4–8 weeks</w:t>
            </w:r>
          </w:p>
        </w:tc>
      </w:tr>
      <w:t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E5503C">
            <w:pPr>
              <w:spacing w:after="200" w:line="276" w:lineRule="auto"/>
            </w:pPr>
            <w:r/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0"/>
                <w:szCs w:val="22"/>
              </w:rPr>
              <w:t>4. Production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C74921">
            <w:pPr>
              <w:spacing w:after="200" w:line="276" w:lineRule="auto"/>
            </w:pPr>
            <w:r/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0"/>
                <w:szCs w:val="22"/>
              </w:rPr>
              <w:t>Production API, SLA, billing, partner success support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6C3A8F">
            <w:pPr>
              <w:spacing w:after="200" w:line="276" w:lineRule="auto"/>
            </w:pPr>
            <w:r/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0"/>
                <w:szCs w:val="22"/>
              </w:rPr>
              <w:t>Ongoing</w:t>
            </w:r>
          </w:p>
        </w:tc>
      </w:tr>
      <w:t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F6113C">
            <w:pPr>
              <w:spacing w:after="200" w:line="276" w:lineRule="auto"/>
            </w:pPr>
            <w:r/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0"/>
                <w:szCs w:val="22"/>
              </w:rPr>
              <w:t>5. Expand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DEFE74">
            <w:pPr>
              <w:spacing w:after="200" w:line="276" w:lineRule="auto"/>
            </w:pPr>
            <w:r/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0"/>
                <w:szCs w:val="22"/>
              </w:rPr>
              <w:t>Additional use cases, optional proprietary data federation into OFIA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70C339">
            <w:pPr>
              <w:spacing w:after="200" w:line="276" w:lineRule="auto"/>
            </w:pPr>
            <w:r/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0"/>
                <w:szCs w:val="22"/>
              </w:rPr>
              <w:t>As needed</w:t>
            </w:r>
          </w:p>
        </w:tc>
      </w:tr>
    </w:tbl>
    <w:p w14:paraId="2ECACCD0">
      <w:pPr>
        <w:spacing w:after="200" w:line="276" w:lineRule="auto"/>
      </w:pPr>
    </w:p>
    <w:p w14:paraId="61A43E2B">
      <w:pPr>
        <w:spacing w:after="200" w:line="276" w:lineRule="auto"/>
      </w:pPr>
      <w:r>
        <w:rPr>
          <w:rFonts w:ascii="Cambria" w:hAnsi="Cambria" w:eastAsia="ＭＳ 明朝" w:cs="Cambria" w:asciiTheme="minorHAnsi" w:hAnsiTheme="minorHAnsi" w:eastAsiaTheme="minorEastAsia" w:csTheme="minorBidi"/>
          <w:b/>
          <w:bCs/>
          <w:sz w:val="22"/>
          <w:szCs w:val="22"/>
        </w:rPr>
        <w:t>Pilot success metrics (examples):</w:t>
      </w:r>
    </w:p>
    <w:p w14:paraId="1D33FEA4">
      <w:pPr>
        <w:pStyle w:val="ListBullet"/>
        <w:ind w:left="360" w:hanging="360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≥90% of pilot queries return actionable answers with citations</w:t>
      </w:r>
    </w:p>
    <w:p w14:paraId="01ADD1FA">
      <w:pPr>
        <w:pStyle w:val="ListBullet"/>
        <w:ind w:left="360" w:hanging="360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ACF confidence distribution aligns with Olam analyst validation on sample set</w:t>
      </w:r>
    </w:p>
    <w:p w14:paraId="59DBDB89">
      <w:pPr>
        <w:pStyle w:val="ListBullet"/>
        <w:ind w:left="360" w:hanging="360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Time-to-insight reduced vs. manual data gathering baseline</w:t>
      </w:r>
    </w:p>
    <w:p w14:paraId="2FE21FEE">
      <w:pPr>
        <w:pStyle w:val="ListBullet"/>
        <w:ind w:left="360" w:hanging="360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Export artifacts usable in existing Olam reporting workflows</w:t>
      </w:r>
    </w:p>
    <w:p w14:paraId="71C8230F">
      <w:pPr>
        <w:pStyle w:val="Heading1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A1A1A"/>
          <w:sz w:val="28"/>
          <w:szCs w:val="28"/>
        </w:rPr>
        <w:t>Why partner with OpenTrace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4320"/>
        <w:gridCol w:w="4320"/>
      </w:tblGrid>
      <w:t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E8E8E8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F0482B">
            <w:pPr>
              <w:spacing w:after="200" w:line="276" w:lineRule="auto"/>
            </w:pPr>
            <w:r/>
            <w:r>
              <w:rPr>
                <w:rFonts w:ascii="Cambria" w:hAnsi="Cambria" w:eastAsia="ＭＳ 明朝" w:cs="Cambria" w:asciiTheme="minorHAnsi" w:hAnsiTheme="minorHAnsi" w:eastAsiaTheme="minorEastAsia" w:csTheme="minorBidi"/>
                <w:b/>
                <w:bCs/>
                <w:sz w:val="20"/>
                <w:szCs w:val="22"/>
              </w:rPr>
              <w:t>For Olam AGRI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E8E8E8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6BF234">
            <w:pPr>
              <w:spacing w:after="200" w:line="276" w:lineRule="auto"/>
            </w:pPr>
            <w:r/>
            <w:r>
              <w:rPr>
                <w:rFonts w:ascii="Cambria" w:hAnsi="Cambria" w:eastAsia="ＭＳ 明朝" w:cs="Cambria" w:asciiTheme="minorHAnsi" w:hAnsiTheme="minorHAnsi" w:eastAsiaTheme="minorEastAsia" w:csTheme="minorBidi"/>
                <w:b/>
                <w:bCs/>
                <w:sz w:val="20"/>
                <w:szCs w:val="22"/>
              </w:rPr>
              <w:t>OpenTrace delivers</w:t>
            </w:r>
          </w:p>
        </w:tc>
      </w:tr>
      <w:t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7AB8F3">
            <w:pPr>
              <w:spacing w:after="200" w:line="276" w:lineRule="auto"/>
            </w:pPr>
            <w:r/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0"/>
                <w:szCs w:val="22"/>
              </w:rPr>
              <w:t>Sourcing and supply risk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5C2536">
            <w:pPr>
              <w:spacing w:after="200" w:line="276" w:lineRule="auto"/>
            </w:pPr>
            <w:r/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0"/>
                <w:szCs w:val="22"/>
              </w:rPr>
              <w:t>Cross-country production, climate, and market intelligence on demand</w:t>
            </w:r>
          </w:p>
        </w:tc>
      </w:tr>
      <w:t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FE723D">
            <w:pPr>
              <w:spacing w:after="200" w:line="276" w:lineRule="auto"/>
            </w:pPr>
            <w:r/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0"/>
                <w:szCs w:val="22"/>
              </w:rPr>
              <w:t>Speed to insight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5B8F57">
            <w:pPr>
              <w:spacing w:after="200" w:line="276" w:lineRule="auto"/>
            </w:pPr>
            <w:r/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0"/>
                <w:szCs w:val="22"/>
              </w:rPr>
              <w:t>Natural language instead of manual reconciliation across datasets</w:t>
            </w:r>
          </w:p>
        </w:tc>
      </w:tr>
      <w:t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830DE3">
            <w:pPr>
              <w:spacing w:after="200" w:line="276" w:lineRule="auto"/>
            </w:pPr>
            <w:r/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0"/>
                <w:szCs w:val="22"/>
              </w:rPr>
              <w:t>Institutional trust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EAB7DB">
            <w:pPr>
              <w:spacing w:after="200" w:line="276" w:lineRule="auto"/>
            </w:pPr>
            <w:r/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0"/>
                <w:szCs w:val="22"/>
              </w:rPr>
              <w:t>ACF confidence scoring and full citation traceability</w:t>
            </w:r>
          </w:p>
        </w:tc>
      </w:tr>
      <w:t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232794">
            <w:pPr>
              <w:spacing w:after="200" w:line="276" w:lineRule="auto"/>
            </w:pPr>
            <w:r/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0"/>
                <w:szCs w:val="22"/>
              </w:rPr>
              <w:t>African coverage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CEE567">
            <w:pPr>
              <w:spacing w:after="200" w:line="276" w:lineRule="auto"/>
            </w:pPr>
            <w:r/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0"/>
                <w:szCs w:val="22"/>
              </w:rPr>
              <w:t>54 countries, continental scale, sub-national where data allows</w:t>
            </w:r>
          </w:p>
        </w:tc>
      </w:tr>
      <w:t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B78B84">
            <w:pPr>
              <w:spacing w:after="200" w:line="276" w:lineRule="auto"/>
            </w:pPr>
            <w:r/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0"/>
                <w:szCs w:val="22"/>
              </w:rPr>
              <w:t>Low integration burden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1C6806">
            <w:pPr>
              <w:spacing w:after="200" w:line="276" w:lineRule="auto"/>
            </w:pPr>
            <w:r/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0"/>
                <w:szCs w:val="22"/>
              </w:rPr>
              <w:t>REST API — no data warehouse to build or maintain</w:t>
            </w:r>
          </w:p>
        </w:tc>
      </w:tr>
      <w:t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0D904C">
            <w:pPr>
              <w:spacing w:after="200" w:line="276" w:lineRule="auto"/>
            </w:pPr>
            <w:r/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0"/>
                <w:szCs w:val="22"/>
              </w:rPr>
              <w:t>Long-term infrastructure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DEBFE7">
            <w:pPr>
              <w:spacing w:after="200" w:line="276" w:lineRule="auto"/>
            </w:pPr>
            <w:r/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0"/>
                <w:szCs w:val="22"/>
              </w:rPr>
              <w:t>OFIA persists and improves with use; not a one-off consultancy project</w:t>
            </w:r>
          </w:p>
        </w:tc>
      </w:tr>
    </w:tbl>
    <w:p w14:paraId="40A897E2">
      <w:pPr>
        <w:spacing w:after="200" w:line="276" w:lineRule="auto"/>
      </w:pPr>
    </w:p>
    <w:p w14:paraId="3FC14FCA">
      <w:pPr>
        <w:spacing w:after="200" w:line="276" w:lineRule="auto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OpenTrace already collaborates with agricultural research and development institutions (IITA, CGIAR ecosystem, AGRA, governments, and foundations). Olam AGRI would join a growing network of institutions leveraging shared agricultural intelligence infrastructure.</w:t>
      </w:r>
    </w:p>
    <w:p w14:paraId="38C8808E">
      <w:pPr>
        <w:pStyle w:val="Heading1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A1A1A"/>
          <w:sz w:val="28"/>
          <w:szCs w:val="28"/>
        </w:rPr>
        <w:t>Next steps</w:t>
      </w:r>
    </w:p>
    <w:p w14:paraId="4BF9E299">
      <w:pPr>
        <w:pStyle w:val="ListNumber"/>
        <w:ind w:left="360" w:hanging="360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Introductory call — align on Olam priorities and candidate use cases</w:t>
      </w:r>
    </w:p>
    <w:p w14:paraId="2F9329B8">
      <w:pPr>
        <w:pStyle w:val="ListNumber"/>
        <w:ind w:left="360" w:hanging="360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NDA + sandbox provisioning — API access for technical evaluation</w:t>
      </w:r>
    </w:p>
    <w:p w14:paraId="0E29A7D4">
      <w:pPr>
        <w:pStyle w:val="ListNumber"/>
        <w:ind w:left="360" w:hanging="360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Discovery workshop — Olam category/risk teams + OpenTrace product/engineering</w:t>
      </w:r>
    </w:p>
    <w:p w14:paraId="121BAA67">
      <w:pPr>
        <w:pStyle w:val="ListNumber"/>
        <w:ind w:left="360" w:hanging="360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Pilot agreement — scope, timeline, success criteria, and commercial terms</w:t>
      </w:r>
    </w:p>
    <w:p w14:paraId="2A65576C">
      <w:pPr>
        <w:pStyle w:val="ListNumber"/>
        <w:ind w:left="360" w:hanging="360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Integration kickoff — Olam engineering receives API credentials, OpenAPI spec, and integration guide</w:t>
      </w:r>
    </w:p>
    <w:p w14:paraId="1A43E444">
      <w:pPr>
        <w:spacing w:after="200" w:line="276" w:lineRule="auto"/>
      </w:pPr>
      <w:r>
        <w:rPr>
          <w:rFonts w:ascii="Cambria" w:hAnsi="Cambria" w:eastAsia="ＭＳ 明朝" w:cs="Cambria" w:asciiTheme="minorHAnsi" w:hAnsiTheme="minorHAnsi" w:eastAsiaTheme="minorEastAsia" w:csTheme="minorBidi"/>
          <w:b/>
          <w:bCs/>
          <w:sz w:val="22"/>
          <w:szCs w:val="22"/>
        </w:rPr>
        <w:t>Contact: contact@opentrace.africa</w:t>
      </w:r>
    </w:p>
    <w:p w14:paraId="14984949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A1A1A"/>
          <w:sz w:val="26"/>
          <w:szCs w:val="26"/>
        </w:rPr>
        <w:t>Appendix A — API surface summary (Agribusinesses tier)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2880"/>
        <w:gridCol w:w="2880"/>
        <w:gridCol w:w="2880"/>
      </w:tblGrid>
      <w:t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E8E8E8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225D3F">
            <w:pPr>
              <w:spacing w:after="200" w:line="276" w:lineRule="auto"/>
            </w:pPr>
            <w:r/>
            <w:r>
              <w:rPr>
                <w:rFonts w:ascii="Cambria" w:hAnsi="Cambria" w:eastAsia="ＭＳ 明朝" w:cs="Cambria" w:asciiTheme="minorHAnsi" w:hAnsiTheme="minorHAnsi" w:eastAsiaTheme="minorEastAsia" w:csTheme="minorBidi"/>
                <w:b/>
                <w:bCs/>
                <w:sz w:val="20"/>
                <w:szCs w:val="22"/>
              </w:rPr>
              <w:t>Method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E8E8E8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2B03D4">
            <w:pPr>
              <w:spacing w:after="200" w:line="276" w:lineRule="auto"/>
            </w:pPr>
            <w:r/>
            <w:r>
              <w:rPr>
                <w:rFonts w:ascii="Cambria" w:hAnsi="Cambria" w:eastAsia="ＭＳ 明朝" w:cs="Cambria" w:asciiTheme="minorHAnsi" w:hAnsiTheme="minorHAnsi" w:eastAsiaTheme="minorEastAsia" w:csTheme="minorBidi"/>
                <w:b/>
                <w:bCs/>
                <w:sz w:val="20"/>
                <w:szCs w:val="22"/>
              </w:rPr>
              <w:t>Endpoint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E8E8E8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851EC4">
            <w:pPr>
              <w:spacing w:after="200" w:line="276" w:lineRule="auto"/>
            </w:pPr>
            <w:r/>
            <w:r>
              <w:rPr>
                <w:rFonts w:ascii="Cambria" w:hAnsi="Cambria" w:eastAsia="ＭＳ 明朝" w:cs="Cambria" w:asciiTheme="minorHAnsi" w:hAnsiTheme="minorHAnsi" w:eastAsiaTheme="minorEastAsia" w:csTheme="minorBidi"/>
                <w:b/>
                <w:bCs/>
                <w:sz w:val="20"/>
                <w:szCs w:val="22"/>
              </w:rPr>
              <w:t>Purpose</w:t>
            </w:r>
          </w:p>
        </w:tc>
      </w:tr>
      <w:t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EB5D4F">
            <w:pPr>
              <w:spacing w:after="200" w:line="276" w:lineRule="auto"/>
            </w:pPr>
            <w:r/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0"/>
                <w:szCs w:val="22"/>
              </w:rPr>
              <w:t>GET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4AA027">
            <w:pPr>
              <w:spacing w:after="200" w:line="276" w:lineRule="auto"/>
            </w:pPr>
            <w:r/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0"/>
                <w:szCs w:val="22"/>
              </w:rPr>
              <w:t>/v1/health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B25B8D">
            <w:pPr>
              <w:spacing w:after="200" w:line="276" w:lineRule="auto"/>
            </w:pPr>
            <w:r/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0"/>
                <w:szCs w:val="22"/>
              </w:rPr>
              <w:t>Service health</w:t>
            </w:r>
          </w:p>
        </w:tc>
      </w:tr>
      <w:t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9D8E68">
            <w:pPr>
              <w:spacing w:after="200" w:line="276" w:lineRule="auto"/>
            </w:pPr>
            <w:r/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0"/>
                <w:szCs w:val="22"/>
              </w:rPr>
              <w:t>GET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FE106A">
            <w:pPr>
              <w:spacing w:after="200" w:line="276" w:lineRule="auto"/>
            </w:pPr>
            <w:r/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0"/>
                <w:szCs w:val="22"/>
              </w:rPr>
              <w:t>/v1/meta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EFA51A">
            <w:pPr>
              <w:spacing w:after="200" w:line="276" w:lineRule="auto"/>
            </w:pPr>
            <w:r/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0"/>
                <w:szCs w:val="22"/>
              </w:rPr>
              <w:t>Plan types, categories, rate limits</w:t>
            </w:r>
          </w:p>
        </w:tc>
      </w:tr>
      <w:t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D43A0F">
            <w:pPr>
              <w:spacing w:after="200" w:line="276" w:lineRule="auto"/>
            </w:pPr>
            <w:r/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0"/>
                <w:szCs w:val="22"/>
              </w:rPr>
              <w:t>GET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21A967">
            <w:pPr>
              <w:spacing w:after="200" w:line="276" w:lineRule="auto"/>
            </w:pPr>
            <w:r/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0"/>
                <w:szCs w:val="22"/>
              </w:rPr>
              <w:t>/v1/usage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CCA7E0">
            <w:pPr>
              <w:spacing w:after="200" w:line="276" w:lineRule="auto"/>
            </w:pPr>
            <w:r/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0"/>
                <w:szCs w:val="22"/>
              </w:rPr>
              <w:t>Current tenant usage (authenticated)</w:t>
            </w:r>
          </w:p>
        </w:tc>
      </w:tr>
      <w:t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7F0E14">
            <w:pPr>
              <w:spacing w:after="200" w:line="276" w:lineRule="auto"/>
            </w:pPr>
            <w:r/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0"/>
                <w:szCs w:val="22"/>
              </w:rPr>
              <w:t>POST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C5C0BD">
            <w:pPr>
              <w:spacing w:after="200" w:line="276" w:lineRule="auto"/>
            </w:pPr>
            <w:r/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0"/>
                <w:szCs w:val="22"/>
              </w:rPr>
              <w:t>/v1/sessions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20F9FA">
            <w:pPr>
              <w:spacing w:after="200" w:line="276" w:lineRule="auto"/>
            </w:pPr>
            <w:r/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0"/>
                <w:szCs w:val="22"/>
              </w:rPr>
              <w:t>Create conversation session</w:t>
            </w:r>
          </w:p>
        </w:tc>
      </w:tr>
      <w:t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8C7EDE">
            <w:pPr>
              <w:spacing w:after="200" w:line="276" w:lineRule="auto"/>
            </w:pPr>
            <w:r/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0"/>
                <w:szCs w:val="22"/>
              </w:rPr>
              <w:t>GET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C8CF32">
            <w:pPr>
              <w:spacing w:after="200" w:line="276" w:lineRule="auto"/>
            </w:pPr>
            <w:r/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0"/>
                <w:szCs w:val="22"/>
              </w:rPr>
              <w:t>/v1/sessions/{id}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998BFF">
            <w:pPr>
              <w:spacing w:after="200" w:line="276" w:lineRule="auto"/>
            </w:pPr>
            <w:r/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0"/>
                <w:szCs w:val="22"/>
              </w:rPr>
              <w:t>Session status</w:t>
            </w:r>
          </w:p>
        </w:tc>
      </w:tr>
      <w:t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9FAC1C">
            <w:pPr>
              <w:spacing w:after="200" w:line="276" w:lineRule="auto"/>
            </w:pPr>
            <w:r/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0"/>
                <w:szCs w:val="22"/>
              </w:rPr>
              <w:t>POST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3865F8">
            <w:pPr>
              <w:spacing w:after="200" w:line="276" w:lineRule="auto"/>
            </w:pPr>
            <w:r/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0"/>
                <w:szCs w:val="22"/>
              </w:rPr>
              <w:t>/v1/chat/agribusinesses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7158B3">
            <w:pPr>
              <w:spacing w:after="200" w:line="276" w:lineRule="auto"/>
            </w:pPr>
            <w:r/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0"/>
                <w:szCs w:val="22"/>
              </w:rPr>
              <w:t>Primary endpoint — Q&amp;A with exports</w:t>
            </w:r>
          </w:p>
        </w:tc>
      </w:tr>
      <w:t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F68FE6">
            <w:pPr>
              <w:spacing w:after="200" w:line="276" w:lineRule="auto"/>
            </w:pPr>
            <w:r/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0"/>
                <w:szCs w:val="22"/>
              </w:rPr>
              <w:t>POST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2AB28F">
            <w:pPr>
              <w:spacing w:after="200" w:line="276" w:lineRule="auto"/>
            </w:pPr>
            <w:r/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0"/>
                <w:szCs w:val="22"/>
              </w:rPr>
              <w:t>/v1/feedback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0F675C">
            <w:pPr>
              <w:spacing w:after="200" w:line="276" w:lineRule="auto"/>
            </w:pPr>
            <w:r/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0"/>
                <w:szCs w:val="22"/>
              </w:rPr>
              <w:t>Optional quality feedback (when tracing enabled)</w:t>
            </w:r>
          </w:p>
        </w:tc>
      </w:tr>
    </w:tbl>
    <w:p w14:paraId="449BC732">
      <w:pPr>
        <w:spacing w:after="200" w:line="276" w:lineRule="auto"/>
      </w:pPr>
    </w:p>
    <w:p w14:paraId="52AF2685">
      <w:pPr>
        <w:spacing w:after="200" w:line="276" w:lineRule="auto"/>
      </w:pPr>
      <w:r>
        <w:rPr>
          <w:rFonts w:ascii="Cambria" w:hAnsi="Cambria" w:eastAsia="ＭＳ 明朝" w:cs="Cambria" w:asciiTheme="minorHAnsi" w:hAnsiTheme="minorHAnsi" w:eastAsiaTheme="minorEastAsia" w:csTheme="minorBidi"/>
          <w:b/>
          <w:bCs/>
          <w:sz w:val="22"/>
          <w:szCs w:val="22"/>
        </w:rPr>
        <w:t>Request body (minimal):</w:t>
      </w:r>
    </w:p>
    <w:p w14:paraId="73F7D2CA">
      <w:pPr>
        <w:spacing w:after="0"/>
        <w:ind w:left="360"/>
      </w:pPr>
      <w:r>
        <w:rPr>
          <w:rFonts w:ascii="Consolas" w:hAnsi="Consolas" w:eastAsia="ＭＳ 明朝" w:cs="Consolas" w:eastAsiaTheme="minorEastAsia" w:csTheme="minorBidi"/>
          <w:color w:val="333333"/>
          <w:sz w:val="18"/>
          <w:szCs w:val="22"/>
        </w:rPr>
        <w:t>{</w:t>
      </w:r>
    </w:p>
    <w:p w14:paraId="7D4577B7">
      <w:pPr>
        <w:spacing w:after="0"/>
        <w:ind w:left="360"/>
      </w:pPr>
      <w:r>
        <w:rPr>
          <w:rFonts w:ascii="Consolas" w:hAnsi="Consolas" w:eastAsia="ＭＳ 明朝" w:cs="Consolas" w:eastAsiaTheme="minorEastAsia" w:csTheme="minorBidi"/>
          <w:color w:val="333333"/>
          <w:sz w:val="18"/>
          <w:szCs w:val="22"/>
        </w:rPr>
        <w:t xml:space="preserve">  "message": "Compare cocoa production in Ghana and Côte d'Ivoire over the last 3 years",</w:t>
      </w:r>
    </w:p>
    <w:p w14:paraId="42C68A98">
      <w:pPr>
        <w:spacing w:after="0"/>
        <w:ind w:left="360"/>
      </w:pPr>
      <w:r>
        <w:rPr>
          <w:rFonts w:ascii="Consolas" w:hAnsi="Consolas" w:eastAsia="ＭＳ 明朝" w:cs="Consolas" w:eastAsiaTheme="minorEastAsia" w:csTheme="minorBidi"/>
          <w:color w:val="333333"/>
          <w:sz w:val="18"/>
          <w:szCs w:val="22"/>
        </w:rPr>
        <w:t xml:space="preserve">  "session_id": "optional-for-multi-turn"</w:t>
      </w:r>
    </w:p>
    <w:p w14:paraId="28B9542E">
      <w:pPr>
        <w:spacing w:after="0"/>
        <w:ind w:left="360"/>
      </w:pPr>
      <w:r>
        <w:rPr>
          <w:rFonts w:ascii="Consolas" w:hAnsi="Consolas" w:eastAsia="ＭＳ 明朝" w:cs="Consolas" w:eastAsiaTheme="minorEastAsia" w:csTheme="minorBidi"/>
          <w:color w:val="333333"/>
          <w:sz w:val="18"/>
          <w:szCs w:val="22"/>
        </w:rPr>
        <w:t>}</w:t>
      </w:r>
    </w:p>
    <w:p w14:paraId="38B73FA5">
      <w:pPr>
        <w:spacing w:after="200" w:line="276" w:lineRule="auto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Response includes: assistant_message, citations[], acf, usage, artifacts[] (when export requested), session_id, request_id</w:t>
      </w:r>
    </w:p>
    <w:p w14:paraId="08AA8631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A1A1A"/>
          <w:sz w:val="26"/>
          <w:szCs w:val="26"/>
        </w:rPr>
        <w:t>Appendix B — OpenTrace readiness timeline</w:t>
      </w:r>
    </w:p>
    <w:p w14:paraId="51EAE6C3">
      <w:pPr>
        <w:spacing w:after="200" w:line="276" w:lineRule="auto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OpenTrace is completing the following for production B2B launch:</w:t>
      </w:r>
    </w:p>
    <w:p w14:paraId="3D4663C7">
      <w:pPr>
        <w:pStyle w:val="ListBullet"/>
        <w:ind w:left="360" w:hanging="360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API gateway and client authentication — available in sandbox</w:t>
      </w:r>
    </w:p>
    <w:p w14:paraId="4E988343">
      <w:pPr>
        <w:pStyle w:val="ListBullet"/>
        <w:ind w:left="360" w:hanging="360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Per-tenant metering and billing pipeline — available in sandbox</w:t>
      </w:r>
    </w:p>
    <w:p w14:paraId="26216AAB">
      <w:pPr>
        <w:pStyle w:val="ListBullet"/>
        <w:ind w:left="360" w:hanging="360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Partner sandbox environment — available on request</w:t>
      </w:r>
    </w:p>
    <w:p w14:paraId="27A75D9D">
      <w:pPr>
        <w:pStyle w:val="ListBullet"/>
        <w:ind w:left="360" w:hanging="360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Published OpenAPI specification and integration guide — available</w:t>
      </w:r>
    </w:p>
    <w:p w14:paraId="3E3A907E">
      <w:pPr>
        <w:pStyle w:val="ListBullet"/>
        <w:ind w:left="360" w:hanging="360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Enterprise MSA, DPA, and SLA templates — available under NDA</w:t>
      </w:r>
    </w:p>
    <w:p w14:paraId="5972DC81">
      <w:pPr>
        <w:spacing w:after="200" w:line="276" w:lineRule="auto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Pilot can begin on a controlled sandbox while production gateway hardening completes in parallel.</w:t>
      </w:r>
    </w:p>
    <w:sectPr>
      <w:pgSz w:w="12240" w:h="15840"/>
      <w:pgMar w:top="1440" w:right="1800" w:bottom="1440" w:left="1800" w:header="720" w:footer="720" w:gutter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2026-08-25T22:53:36.686Z</dcterms:modified>
  <cp:category/>
</cp:coreProperties>
</file>