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ASKADZA Production Architecture — Annual Operating Cost Model (2026 Planning Baseline)</w:t>
      </w:r>
    </w:p>
    <w:p>
      <w:r>
        <w:rPr>
          <w:b w:val="0"/>
          <w:i/>
        </w:rPr>
        <w:t>Enterprise / futuristic estimation. Includes BASE (Aura Neo4j + dual managed/self-hosted inference), ALT-Neo4j (self-hosted graph), ALT-SLM (Afrocentric multilingual SLM-first inference), ALT-Lean (Neo4j self-host + SLM-first), capacity limits, and a UX higher-allowance profitability alternate. Neo4j gated to Integrated + Enterprise (B2G) tenants only. Planning estimates, not vendor quotations.</w:t>
      </w:r>
    </w:p>
    <w:p>
      <w:r>
        <w:rPr>
          <w:b/>
          <w:i w:val="0"/>
        </w:rPr>
        <w:t>Target: 1–2 million application requests/day | millions+ documents | up to 100B BigQuery rows | 40 AI-tool users | foundational Afrocentric multilingual SLM</w:t>
      </w:r>
    </w:p>
    <w:p>
      <w:pPr>
        <w:pStyle w:val="Heading2"/>
      </w:pPr>
      <w:r>
        <w:t>1. Scale Bridge — Near-Term → Enterprise Variants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Horizon</w:t>
            </w:r>
          </w:p>
        </w:tc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Traffic / scope</w:t>
            </w:r>
          </w:p>
        </w:tc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Cost lens</w:t>
            </w:r>
          </w:p>
        </w:tc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Near-term (v10)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5k API req/day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~$1.05–1.15k/mo · ~$0.0071/req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Launch COGS; Llama 3.1 8B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BASE enterprise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Design 2M req/day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$1,459,488/yr · $0.001999/req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Aura Neo4j + $30k+$30k inference (conservative)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ALT-Lean (recommended path)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Same capacity; SLM-first + light graph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$834,960/yr · $0.001144/req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Save $624,528/yr vs BASE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Heavy sensitivity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Frontier-heavy / crawl growth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~$2.0–3.0M+/yr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If managed LLM share rises without SLM default</w:t>
            </w:r>
          </w:p>
        </w:tc>
      </w:tr>
    </w:tbl>
    <w:p/>
    <w:p>
      <w:pPr>
        <w:pStyle w:val="Heading2"/>
      </w:pPr>
      <w:r>
        <w:t>2. Executive Cost Summary</w:t>
      </w:r>
    </w:p>
    <w:p>
      <w:r>
        <w:rPr>
          <w:b w:val="0"/>
          <w:i w:val="0"/>
        </w:rPr>
        <w:t>BASE rollup unchanged (Aura Neo4j + dual inference). Stack variants below show Neo4j and SLM-first inference alternatives. 12,300 seats = profitability mix, not capacity cap (§18).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A1A2E" w:val="clear"/>
          </w:tcPr>
          <w:p>
            <w:r>
              <w:rPr>
                <w:b/>
                <w:color w:val="FFFFFF"/>
                <w:sz w:val="18"/>
              </w:rPr>
              <w:t>Cost component</w:t>
            </w:r>
          </w:p>
        </w:tc>
        <w:tc>
          <w:tcPr>
            <w:tcW w:type="dxa" w:w="3264"/>
            <w:shd w:fill="1A1A2E" w:val="clear"/>
          </w:tcPr>
          <w:p>
            <w:r>
              <w:rPr>
                <w:b/>
                <w:color w:val="FFFFFF"/>
                <w:sz w:val="18"/>
              </w:rPr>
              <w:t>Monthly</w:t>
            </w:r>
          </w:p>
        </w:tc>
        <w:tc>
          <w:tcPr>
            <w:tcW w:type="dxa" w:w="3264"/>
            <w:shd w:fill="1A1A2E" w:val="clear"/>
          </w:tcPr>
          <w:p>
            <w:r>
              <w:rPr>
                <w:b/>
                <w:color w:val="FFFFFF"/>
                <w:sz w:val="18"/>
              </w:rPr>
              <w:t>Annual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Agentic crawling — Tactiq + Sensed + crawl execution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$10,000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$120,000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Airbyte ingestion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$5,000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$60,000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Airflow orchestration / MWAA-equivalent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$1,500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$18,000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Raw object storage + lifecycle/backup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$3,000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$36,000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Document processing / OCR / parsing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$4,000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$48,000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Audio/video transcription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$4,000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$48,000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Embedding + reranking infrastructure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$4,000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$48,000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Qdrant production HA cluster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$5,000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$60,000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Redis production HA/cache layer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$2,000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$24,000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BigQuery — storage + query compute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$2,500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$30,000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Neo4j Business Critical knowledge graph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$9,344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$112,128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Langfuse observability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$2,000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$24,000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Managed LLM APIs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$30,000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$360,000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Self-hosted LLM inference GPUs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$30,000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$360,000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Networking / security / monitoring / misc.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$8,000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$96,000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40 Cursor Teams seats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$1,280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$15,360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TOTAL BASE OPERATING COST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$121,624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$1,459,488</w:t>
            </w:r>
          </w:p>
        </w:tc>
      </w:tr>
    </w:tbl>
    <w:p/>
    <w:p>
      <w:r>
        <w:rPr>
          <w:b/>
          <w:i w:val="0"/>
        </w:rPr>
        <w:t>BASE + 15% contingency: $1,678,411. Fully loaded $/req @ 2M/day: $0.001999.</w:t>
      </w:r>
    </w:p>
    <w:p>
      <w:r>
        <w:rPr>
          <w:b/>
          <w:i w:val="0"/>
        </w:rPr>
        <w:t>Stack variants (annual opex)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1A1A2E" w:val="clear"/>
          </w:tcPr>
          <w:p>
            <w:r>
              <w:rPr>
                <w:b/>
                <w:color w:val="FFFFFF"/>
                <w:sz w:val="18"/>
              </w:rPr>
              <w:t>Variant</w:t>
            </w:r>
          </w:p>
        </w:tc>
        <w:tc>
          <w:tcPr>
            <w:tcW w:type="dxa" w:w="1632"/>
            <w:shd w:fill="1A1A2E" w:val="clear"/>
          </w:tcPr>
          <w:p>
            <w:r>
              <w:rPr>
                <w:b/>
                <w:color w:val="FFFFFF"/>
                <w:sz w:val="18"/>
              </w:rPr>
              <w:t>Neo4j</w:t>
            </w:r>
          </w:p>
        </w:tc>
        <w:tc>
          <w:tcPr>
            <w:tcW w:type="dxa" w:w="1632"/>
            <w:shd w:fill="1A1A2E" w:val="clear"/>
          </w:tcPr>
          <w:p>
            <w:r>
              <w:rPr>
                <w:b/>
                <w:color w:val="FFFFFF"/>
                <w:sz w:val="18"/>
              </w:rPr>
              <w:t>Inference</w:t>
            </w:r>
          </w:p>
        </w:tc>
        <w:tc>
          <w:tcPr>
            <w:tcW w:type="dxa" w:w="1632"/>
            <w:shd w:fill="1A1A2E" w:val="clear"/>
          </w:tcPr>
          <w:p>
            <w:r>
              <w:rPr>
                <w:b/>
                <w:color w:val="FFFFFF"/>
                <w:sz w:val="18"/>
              </w:rPr>
              <w:t>Annual opex</w:t>
            </w:r>
          </w:p>
        </w:tc>
        <w:tc>
          <w:tcPr>
            <w:tcW w:type="dxa" w:w="1632"/>
            <w:shd w:fill="1A1A2E" w:val="clear"/>
          </w:tcPr>
          <w:p>
            <w:r>
              <w:rPr>
                <w:b/>
                <w:color w:val="FFFFFF"/>
                <w:sz w:val="18"/>
              </w:rPr>
              <w:t>$/req @ 2M/day</w:t>
            </w:r>
          </w:p>
        </w:tc>
        <w:tc>
          <w:tcPr>
            <w:tcW w:type="dxa" w:w="1632"/>
            <w:shd w:fill="1A1A2E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632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  <w:t>Aura $112,128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  <w:t>Dual $720,000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  <w:t>$1,459,488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  <w:t>$0.001999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  <w:t>Conservative ceiling</w:t>
            </w:r>
          </w:p>
        </w:tc>
      </w:tr>
      <w:tr>
        <w:tc>
          <w:tcPr>
            <w:tcW w:type="dxa" w:w="1632"/>
          </w:tcPr>
          <w:p>
            <w:r>
              <w:rPr>
                <w:sz w:val="18"/>
              </w:rPr>
              <w:t>ALT-Neo4j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  <w:t>Self-host $3,600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  <w:t>Dual $720,000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  <w:t>$1,350,960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  <w:t>$0.001851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  <w:t>Light graph use</w:t>
            </w:r>
          </w:p>
        </w:tc>
      </w:tr>
      <w:tr>
        <w:tc>
          <w:tcPr>
            <w:tcW w:type="dxa" w:w="1632"/>
          </w:tcPr>
          <w:p>
            <w:r>
              <w:rPr>
                <w:sz w:val="18"/>
              </w:rPr>
              <w:t>ALT-SLM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  <w:t>Aura $112,128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  <w:t>SLM-first $204,000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  <w:t>$943,488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  <w:t>$0.001292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  <w:t>−$516,000 inference</w:t>
            </w:r>
          </w:p>
        </w:tc>
      </w:tr>
      <w:tr>
        <w:tc>
          <w:tcPr>
            <w:tcW w:type="dxa" w:w="1632"/>
          </w:tcPr>
          <w:p>
            <w:r>
              <w:rPr>
                <w:sz w:val="18"/>
              </w:rPr>
              <w:t>ALT-Lean (recommended)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  <w:t>Self-host $3,600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  <w:t>SLM-first $204,000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  <w:t>$834,960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  <w:t>$0.001144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  <w:t>+15% → $960,204</w:t>
            </w:r>
          </w:p>
        </w:tc>
      </w:tr>
    </w:tbl>
    <w:p/>
    <w:p>
      <w:pPr>
        <w:pStyle w:val="Heading2"/>
      </w:pPr>
      <w:r>
        <w:t>3. Important Assumptions</w:t>
      </w:r>
    </w:p>
    <w:p>
      <w:pPr>
        <w:pStyle w:val="ListBullet"/>
      </w:pPr>
      <w:r>
        <w:t>Design capacity: 2,000,000 application req/day (conservative 1,000,000). See §18.</w:t>
      </w:r>
    </w:p>
    <w:p>
      <w:pPr>
        <w:pStyle w:val="ListBullet"/>
      </w:pPr>
      <w:r>
        <w:t>Intended generate path: foundational Afrocentric multilingual SLM (self-hosted). BASE retains dual $30k+$30k inference as conservative planning; ALT-SLM / ALT-Lean model the SLM-first path.</w:t>
      </w:r>
    </w:p>
    <w:p>
      <w:pPr>
        <w:pStyle w:val="ListBullet"/>
      </w:pPr>
      <w:r>
        <w:t>Managed APIs under SLM-first are fallback/hard-query only (~$8k/mo), not default generate.</w:t>
      </w:r>
    </w:p>
    <w:p>
      <w:pPr>
        <w:pStyle w:val="ListBullet"/>
      </w:pPr>
      <w:r>
        <w:t>Neo4j access: Integrated + Enterprise (B2G) tenants ONLY.</w:t>
      </w:r>
    </w:p>
    <w:p>
      <w:pPr>
        <w:pStyle w:val="ListBullet"/>
      </w:pPr>
      <w:r>
        <w:t>UX alternate allowances (Free 20 / Farmers 100 / Gov 400 / NGO 600 / Agri 1,000 / Integrated 2,000) are a product option in §22.5; primary tables keep tighter quotas.</w:t>
      </w:r>
    </w:p>
    <w:p>
      <w:pPr>
        <w:pStyle w:val="ListBullet"/>
      </w:pPr>
      <w:r>
        <w:t>Raised SaaS mix: 12,300 seats / $1,594,524 ARR (profitability reference).</w:t>
      </w:r>
    </w:p>
    <w:p>
      <w:pPr>
        <w:pStyle w:val="ListBullet"/>
      </w:pPr>
      <w:r>
        <w:t>Enterprise-tenant capacity stress: 200 × 5,000 soft q/mo (not in ARR mix).</w:t>
      </w:r>
    </w:p>
    <w:p>
      <w:pPr>
        <w:pStyle w:val="Heading2"/>
      </w:pPr>
      <w:r>
        <w:t>4. Agentic Crawling — Tactiq + Sensed</w:t>
      </w:r>
    </w:p>
    <w:p>
      <w:r>
        <w:rPr>
          <w:b/>
          <w:i w:val="0"/>
        </w:rPr>
        <w:t>Budget: $120,000/year.</w:t>
      </w:r>
    </w:p>
    <w:p>
      <w:pPr>
        <w:pStyle w:val="Heading2"/>
      </w:pPr>
      <w:r>
        <w:t>5. Airbyte</w:t>
      </w:r>
    </w:p>
    <w:p>
      <w:r>
        <w:rPr>
          <w:b/>
          <w:i w:val="0"/>
        </w:rPr>
        <w:t>Budget: $60,000/year.</w:t>
      </w:r>
    </w:p>
    <w:p>
      <w:pPr>
        <w:pStyle w:val="Heading2"/>
      </w:pPr>
      <w:r>
        <w:t>6. Airflow / MWAA</w:t>
      </w:r>
    </w:p>
    <w:p>
      <w:r>
        <w:rPr>
          <w:b/>
          <w:i w:val="0"/>
        </w:rPr>
        <w:t>Budget: $18,000/year.</w:t>
      </w:r>
    </w:p>
    <w:p>
      <w:pPr>
        <w:pStyle w:val="Heading2"/>
      </w:pPr>
      <w:r>
        <w:t>7. Qdrant</w:t>
      </w:r>
    </w:p>
    <w:p>
      <w:r>
        <w:rPr>
          <w:b/>
          <w:i w:val="0"/>
        </w:rPr>
        <w:t>Budget: $60,000/year ($5,000/month HA). Serves all plans’ retrieval.</w:t>
      </w:r>
    </w:p>
    <w:p>
      <w:pPr>
        <w:pStyle w:val="Heading2"/>
      </w:pPr>
      <w:r>
        <w:t>8. Redis</w:t>
      </w:r>
    </w:p>
    <w:p>
      <w:r>
        <w:rPr>
          <w:b/>
          <w:i w:val="0"/>
        </w:rPr>
        <w:t>Budget: $24,000/year.</w:t>
      </w:r>
    </w:p>
    <w:p>
      <w:pPr>
        <w:pStyle w:val="Heading2"/>
      </w:pPr>
      <w:r>
        <w:t>9. BigQuery — 100 Billion Rows/Data Points</w:t>
      </w:r>
    </w:p>
    <w:p>
      <w:r>
        <w:rPr>
          <w:b/>
          <w:i w:val="0"/>
        </w:rPr>
        <w:t>Budget: $30,000/year ($2,500/month).</w:t>
      </w:r>
    </w:p>
    <w:p>
      <w:r>
        <w:rPr>
          <w:b w:val="0"/>
          <w:i/>
        </w:rPr>
        <w:t>Cross-cloud egress headroom sits in the networking line.</w:t>
      </w:r>
    </w:p>
    <w:p>
      <w:pPr>
        <w:pStyle w:val="Heading2"/>
      </w:pPr>
      <w:r>
        <w:t>10. Neo4j Knowledge Graph</w:t>
      </w:r>
    </w:p>
    <w:p>
      <w:r>
        <w:rPr>
          <w:b/>
          <w:i w:val="0"/>
        </w:rPr>
        <w:t>BASE: $112,128/year (AuraDB Business Critical 64 GB).</w:t>
      </w:r>
    </w:p>
    <w:p>
      <w:r>
        <w:rPr>
          <w:b/>
          <w:i w:val="0"/>
        </w:rPr>
        <w:t>Only Integrated + Enterprise (B2G) tenants invoke Neo4j. Farmers→Agri do not.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A1A2E" w:val="clear"/>
          </w:tcPr>
          <w:p>
            <w:r>
              <w:rPr>
                <w:b/>
                <w:color w:val="FFFFFF"/>
                <w:sz w:val="18"/>
              </w:rPr>
              <w:t>Config</w:t>
            </w:r>
          </w:p>
        </w:tc>
        <w:tc>
          <w:tcPr>
            <w:tcW w:type="dxa" w:w="3264"/>
            <w:shd w:fill="1A1A2E" w:val="clear"/>
          </w:tcPr>
          <w:p>
            <w:r>
              <w:rPr>
                <w:b/>
                <w:color w:val="FFFFFF"/>
                <w:sz w:val="18"/>
              </w:rPr>
              <w:t>Monthly</w:t>
            </w:r>
          </w:p>
        </w:tc>
        <w:tc>
          <w:tcPr>
            <w:tcW w:type="dxa" w:w="3264"/>
            <w:shd w:fill="1A1A2E" w:val="clear"/>
          </w:tcPr>
          <w:p>
            <w:r>
              <w:rPr>
                <w:b/>
                <w:color w:val="FFFFFF"/>
                <w:sz w:val="18"/>
              </w:rPr>
              <w:t>Annual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64 GB Business Critical (BASE)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$9,344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$112,128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Self-hosted light (ALT)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$300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$3600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Savings vs BASE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−$9,044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−$108,528</w:t>
            </w:r>
          </w:p>
        </w:tc>
      </w:tr>
    </w:tbl>
    <w:p/>
    <w:p>
      <w:r>
        <w:rPr>
          <w:b w:val="0"/>
          <w:i w:val="0"/>
        </w:rPr>
        <w:t>ALT self-hosted ~$300/mo for light graph use. Soft Neo4j band ~25k–75k req/day; planning load with 600 Integrated + 200 Enterprise ≈ 73,333/day (§18.5).</w:t>
      </w:r>
    </w:p>
    <w:p>
      <w:pPr>
        <w:pStyle w:val="Heading2"/>
      </w:pPr>
      <w:r>
        <w:t>11. Langfuse Observability</w:t>
      </w:r>
    </w:p>
    <w:p>
      <w:r>
        <w:rPr>
          <w:b/>
          <w:i w:val="0"/>
        </w:rPr>
        <w:t>Budget: $24,000/year. Sampling mandatory at scale.</w:t>
      </w:r>
    </w:p>
    <w:p>
      <w:pPr>
        <w:pStyle w:val="Heading2"/>
      </w:pPr>
      <w:r>
        <w:t>12. Managed LLM APIs</w:t>
      </w:r>
    </w:p>
    <w:p>
      <w:r>
        <w:rPr>
          <w:b/>
          <w:i w:val="0"/>
        </w:rPr>
        <w:t>BASE budget: $360,000/year ($30,000/month).</w:t>
      </w:r>
    </w:p>
    <w:p>
      <w:r>
        <w:rPr>
          <w:b w:val="0"/>
          <w:i w:val="0"/>
        </w:rPr>
        <w:t>BASE assumes up to ~400k managed req/day (~20% of 2M) with caching. Under SLM-first, this shrinks to a fallback envelope (§13 alternative).</w:t>
      </w:r>
    </w:p>
    <w:p>
      <w:pPr>
        <w:pStyle w:val="Heading2"/>
      </w:pPr>
      <w:r>
        <w:t>13. Self-Hosted LLM Inference (SageMaker-Grounded)</w:t>
      </w:r>
    </w:p>
    <w:p>
      <w:r>
        <w:rPr>
          <w:b/>
          <w:i w:val="0"/>
        </w:rPr>
        <w:t>BASE budget: $360,000/year ($30,000/month).</w:t>
      </w:r>
    </w:p>
    <w:p>
      <w:r>
        <w:rPr>
          <w:b w:val="0"/>
          <w:i w:val="0"/>
        </w:rPr>
        <w:t>BASE grounds always-on mid/large models (g5.48 / p4d-class headroom). Product thesis favors an Afrocentric multilingual foundational SLM — see alternative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A1A2E" w:val="clear"/>
          </w:tcPr>
          <w:p>
            <w:r>
              <w:rPr>
                <w:b/>
                <w:color w:val="FFFFFF"/>
                <w:sz w:val="18"/>
              </w:rPr>
              <w:t>Instance (reference)</w:t>
            </w:r>
          </w:p>
        </w:tc>
        <w:tc>
          <w:tcPr>
            <w:tcW w:type="dxa" w:w="3264"/>
            <w:shd w:fill="1A1A2E" w:val="clear"/>
          </w:tcPr>
          <w:p>
            <w:r>
              <w:rPr>
                <w:b/>
                <w:color w:val="FFFFFF"/>
                <w:sz w:val="18"/>
              </w:rPr>
              <w:t>Best for</w:t>
            </w:r>
          </w:p>
        </w:tc>
        <w:tc>
          <w:tcPr>
            <w:tcW w:type="dxa" w:w="3264"/>
            <w:shd w:fill="1A1A2E" w:val="clear"/>
          </w:tcPr>
          <w:p>
            <w:r>
              <w:rPr>
                <w:b/>
                <w:color w:val="FFFFFF"/>
                <w:sz w:val="18"/>
              </w:rPr>
              <w:t>$/Month (24/7)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ml.g5.2xlarge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7B SLM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~$1,094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ml.g5.12xlarge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13B–30B / SLM + headroom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~$5,105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ml.g5.48xlarge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30B–65B / quantized 70B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~$14,465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ml.p4d.24xlarge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70B+ (BASE-class)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~$27,137</w:t>
            </w:r>
          </w:p>
        </w:tc>
      </w:tr>
    </w:tbl>
    <w:p/>
    <w:p>
      <w:r>
        <w:rPr>
          <w:b/>
          <w:i w:val="0"/>
        </w:rPr>
        <w:t>Alternative: SLM-first inference (Afrocentric multilingual foundational SLM)</w:t>
      </w:r>
    </w:p>
    <w:p>
      <w:r>
        <w:rPr>
          <w:b w:val="0"/>
          <w:i w:val="0"/>
        </w:rPr>
        <w:t>Default generate on self-hosted 7B–13B-class SLM trained/fine-tuned on Afrocentric data and multiple African languages. Managed APIs only for hard queries, eval, and overflow. Training/SFT amortized explicitly (not a hidden always-on 70B fleet).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BASE monthly</w:t>
            </w:r>
          </w:p>
        </w:tc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SLM-first monthly</w:t>
            </w:r>
          </w:p>
        </w:tc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Managed LLM APIs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$30,000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$8,000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Fallback / hard queries only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Self-hosted GPU serve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$30,000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$6,000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g5-class primary + replica for 7B–13B SLM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SLM train / SFT amort.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 (hidden in GPU)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$3,000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Continued pretrain / domain SFT allowance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Inference subtotal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$60,000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$17,000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Annual: $720,000 → $204,000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Annual savings vs BASE inference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$516,000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−$43,000/mo</w:t>
            </w:r>
          </w:p>
        </w:tc>
      </w:tr>
    </w:tbl>
    <w:p/>
    <w:p>
      <w:pPr>
        <w:pStyle w:val="Heading2"/>
      </w:pPr>
      <w:r>
        <w:t>14. Embeddings, Reranking, OCR and Transcription</w:t>
      </w:r>
    </w:p>
    <w:p>
      <w:r>
        <w:rPr>
          <w:b/>
          <w:i w:val="0"/>
        </w:rPr>
        <w:t>Combined budget: $144,000/year.</w:t>
      </w:r>
    </w:p>
    <w:p>
      <w:pPr>
        <w:pStyle w:val="Heading2"/>
      </w:pPr>
      <w:r>
        <w:t>15. Raw Storage, Networking &amp; Platform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A1A2E" w:val="clear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896"/>
            <w:shd w:fill="1A1A2E" w:val="clear"/>
          </w:tcPr>
          <w:p>
            <w:r>
              <w:rPr>
                <w:b/>
                <w:color w:val="FFFFFF"/>
                <w:sz w:val="18"/>
              </w:rPr>
              <w:t>Annual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Raw object storage + lifecycle + backup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$36,000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Networking/security/monitoring/misc.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$96,000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$132,000</w:t>
            </w:r>
          </w:p>
        </w:tc>
      </w:tr>
    </w:tbl>
    <w:p/>
    <w:p>
      <w:pPr>
        <w:pStyle w:val="Heading2"/>
      </w:pPr>
      <w:r>
        <w:t>16. 40 Developer AI Seats</w:t>
      </w:r>
    </w:p>
    <w:p>
      <w:r>
        <w:rPr>
          <w:b w:val="0"/>
          <w:i w:val="0"/>
        </w:rPr>
        <w:t>Cursor Teams: 40 × $32 × 12 = $15,360/year.</w:t>
      </w:r>
    </w:p>
    <w:p>
      <w:pPr>
        <w:pStyle w:val="Heading2"/>
      </w:pPr>
      <w:r>
        <w:t>17. Annual Cost Breakdown &amp; Variants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A1A2E" w:val="clear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896"/>
            <w:shd w:fill="1A1A2E" w:val="clear"/>
          </w:tcPr>
          <w:p>
            <w:r>
              <w:rPr>
                <w:b/>
                <w:color w:val="FFFFFF"/>
                <w:sz w:val="18"/>
              </w:rPr>
              <w:t>Annual (BASE)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Agentic crawling — Tactiq + Sensed + crawl execution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$120,000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Airbyte ingestion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$60,000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Airflow orchestration / MWAA-equivalent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$18,000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Raw object storage + lifecycle/backup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$36,000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Document processing / OCR / parsing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$48,000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Audio/video transcription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$48,000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Embedding + reranking infrastructure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$48,000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Qdrant production HA cluster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$60,000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Redis production HA/cache layer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$24,000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BigQuery — storage + query compute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$30,000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Neo4j Business Critical knowledge graph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$112,128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Langfuse observability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$24,000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Managed LLM APIs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$360,000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Self-hosted LLM inference GPUs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$360,000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Networking / security / monitoring / misc.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$96,000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40 Cursor Teams seats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$15,360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TOTAL BASE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$1,459,488</w:t>
            </w:r>
          </w:p>
        </w:tc>
      </w:tr>
    </w:tbl>
    <w:p/>
    <w:p>
      <w:r>
        <w:rPr>
          <w:b w:val="0"/>
          <w:i w:val="0"/>
        </w:rPr>
        <w:t>BASE + 15%: $1,678,411</w:t>
      </w:r>
    </w:p>
    <w:p>
      <w:r>
        <w:rPr>
          <w:b/>
          <w:i w:val="0"/>
        </w:rPr>
        <w:t>17.0 Variant rollups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A1A2E" w:val="clear"/>
          </w:tcPr>
          <w:p>
            <w:r>
              <w:rPr>
                <w:b/>
                <w:color w:val="FFFFFF"/>
                <w:sz w:val="18"/>
              </w:rPr>
              <w:t>Variant</w:t>
            </w:r>
          </w:p>
        </w:tc>
        <w:tc>
          <w:tcPr>
            <w:tcW w:type="dxa" w:w="1958"/>
            <w:shd w:fill="1A1A2E" w:val="clear"/>
          </w:tcPr>
          <w:p>
            <w:r>
              <w:rPr>
                <w:b/>
                <w:color w:val="FFFFFF"/>
                <w:sz w:val="18"/>
              </w:rPr>
              <w:t>Annual opex</w:t>
            </w:r>
          </w:p>
        </w:tc>
        <w:tc>
          <w:tcPr>
            <w:tcW w:type="dxa" w:w="1958"/>
            <w:shd w:fill="1A1A2E" w:val="clear"/>
          </w:tcPr>
          <w:p>
            <w:r>
              <w:rPr>
                <w:b/>
                <w:color w:val="FFFFFF"/>
                <w:sz w:val="18"/>
              </w:rPr>
              <w:t>+15% contingency</w:t>
            </w:r>
          </w:p>
        </w:tc>
        <w:tc>
          <w:tcPr>
            <w:tcW w:type="dxa" w:w="1958"/>
            <w:shd w:fill="1A1A2E" w:val="clear"/>
          </w:tcPr>
          <w:p>
            <w:r>
              <w:rPr>
                <w:b/>
                <w:color w:val="FFFFFF"/>
                <w:sz w:val="18"/>
              </w:rPr>
              <w:t>$/req @ 2M/day</w:t>
            </w:r>
          </w:p>
        </w:tc>
        <w:tc>
          <w:tcPr>
            <w:tcW w:type="dxa" w:w="1958"/>
            <w:shd w:fill="1A1A2E" w:val="clear"/>
          </w:tcPr>
          <w:p>
            <w:r>
              <w:rPr>
                <w:b/>
                <w:color w:val="FFFFFF"/>
                <w:sz w:val="18"/>
              </w:rPr>
              <w:t>Save vs BASE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$1,459,488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$1,678,411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$0.001999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  <w:t>ALT-Neo4j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$1,350,960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$1,553,604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$0.001851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$108,528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  <w:t>ALT-SLM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$943,488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$1,085,011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$0.001292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$516,000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  <w:t>ALT-Lean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$834,960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$960,204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$0.001144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$624,528</w:t>
            </w:r>
          </w:p>
        </w:tc>
      </w:tr>
    </w:tbl>
    <w:p/>
    <w:p>
      <w:r>
        <w:rPr>
          <w:b/>
          <w:i w:val="0"/>
        </w:rPr>
        <w:t>ALT-Lean headline: $834,960/yr · $0.001144/req (~$1.14 per 1,000) · contingency $960,204.</w:t>
      </w:r>
    </w:p>
    <w:p>
      <w:r>
        <w:rPr>
          <w:b/>
          <w:i w:val="0"/>
        </w:rPr>
        <w:t>17.1 Fully loaded $/request (BASE lines)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Annual $</w:t>
            </w:r>
          </w:p>
        </w:tc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$/request</w:t>
            </w:r>
          </w:p>
        </w:tc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$/1,000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Agentic crawling — Tactiq + Sensed + crawl execution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$120,000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$0.000164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$0.1644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Airbyte ingestion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$60,000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$0.000082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$0.0822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Airflow orchestration / MWAA-equivalent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$18,000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$0.000025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$0.0247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Raw object storage + lifecycle/backup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$36,000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$0.000049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$0.0493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Document processing / OCR / parsing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$48,000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$0.000066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$0.0658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Audio/video transcription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$48,000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$0.000066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$0.0658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Embedding + reranking infrastructure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$48,000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$0.000066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$0.0658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Qdrant production HA cluster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$60,000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$0.000082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$0.0822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Redis production HA/cache layer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$24,000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$0.000033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$0.0329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BigQuery — storage + query compute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$30,000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$0.000041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$0.0411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Neo4j Business Critical knowledge graph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$112,128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$0.000154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$0.1536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Langfuse observability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$24,000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$0.000033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$0.0329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Managed LLM APIs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$360,000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$0.000493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$0.4932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Self-hosted LLM inference GPUs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$360,000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$0.000493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$0.4932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Networking / security / monitoring / misc.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$96,000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$0.000132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$0.1315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40 Cursor Teams seats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$15,360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$0.000021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$0.0210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TOTAL BASE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$1,459,488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$0.001999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$1.9993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Variant total</w:t>
            </w:r>
          </w:p>
        </w:tc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Annual $</w:t>
            </w:r>
          </w:p>
        </w:tc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$/request</w:t>
            </w:r>
          </w:p>
        </w:tc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$/1,000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ALT-Neo4j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$1,350,960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$0.001851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$1.8506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ALT-SLM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$943,488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$0.001292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$1.2924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ALT-Lean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$834,960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$0.001144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$1.1438</w:t>
            </w:r>
          </w:p>
        </w:tc>
      </w:tr>
    </w:tbl>
    <w:p/>
    <w:p>
      <w:pPr>
        <w:pStyle w:val="Heading2"/>
      </w:pPr>
      <w:r>
        <w:t>18. Capacity Limits (Detailed)</w:t>
      </w:r>
    </w:p>
    <w:p>
      <w:r>
        <w:rPr>
          <w:b w:val="0"/>
          <w:i w:val="0"/>
        </w:rPr>
        <w:t>12,300 seats / $1,594,524 ARR is a profitability mix, not max capacity. Capacity is gated by req/day and path mix.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A1A2E" w:val="clear"/>
          </w:tcPr>
          <w:p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3264"/>
            <w:shd w:fill="1A1A2E" w:val="clear"/>
          </w:tcPr>
          <w:p>
            <w:r>
              <w:rPr>
                <w:b/>
                <w:color w:val="FFFFFF"/>
                <w:sz w:val="18"/>
              </w:rPr>
              <w:t>Application req/day</w:t>
            </w:r>
          </w:p>
        </w:tc>
        <w:tc>
          <w:tcPr>
            <w:tcW w:type="dxa" w:w="3264"/>
            <w:shd w:fill="1A1A2E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Design target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2,000,000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Fully loaded $/req denominator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Conservative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1,000,000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Operational headroom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LLM-heavy caution (BASE dual inference)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~200,000–500,000 hard paths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If most traffic is frontier LLM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SLM-first note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Higher share of ‘hard’ paths sustainable on g5 SLM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Still watch GPU tokens/sec and managed fallback</w:t>
            </w:r>
          </w:p>
        </w:tc>
      </w:tr>
    </w:tbl>
    <w:p/>
    <w:p>
      <w:r>
        <w:rPr>
          <w:b/>
          <w:i w:val="0"/>
        </w:rPr>
        <w:t>18.3 Seat ceilings (full allowance, single-plan)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q/mo</w:t>
            </w:r>
          </w:p>
        </w:tc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Max @ 1M/day</w:t>
            </w:r>
          </w:p>
        </w:tc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Max @ 2M/day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Farmers (50)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600,000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1,200,000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Government (200)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150,000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300,000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NGOs (400)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75,000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150,000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Agri (800)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37,500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75,000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Integrated (2,000)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15,000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30,000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Enterprise (5,000 planning)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5,000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6,000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12,000</w:t>
            </w:r>
          </w:p>
        </w:tc>
      </w:tr>
    </w:tbl>
    <w:p/>
    <w:p>
      <w:r>
        <w:rPr>
          <w:b/>
          <w:i w:val="0"/>
        </w:rPr>
        <w:t>18.4 Raised-mix 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Allowance set</w:t>
            </w:r>
          </w:p>
        </w:tc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q/mo @ full</w:t>
            </w:r>
          </w:p>
        </w:tc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≈ req/day</w:t>
            </w:r>
          </w:p>
        </w:tc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% of 2M design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Primary quotas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3,760,000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~125,333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~6.3%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UX higher quotas (§22.5)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5,200,000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~173,333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~8.7%</w:t>
            </w:r>
          </w:p>
        </w:tc>
      </w:tr>
    </w:tbl>
    <w:p/>
    <w:p>
      <w:r>
        <w:rPr>
          <w:b/>
          <w:i w:val="0"/>
        </w:rPr>
        <w:t>UX allowances raise mix load to ~173,333 req/day — still ~91% headroom vs 2M/day. Neo4j SaaS load unchanged (Integrated still 2,000 q/mo).</w:t>
      </w:r>
    </w:p>
    <w:p>
      <w:r>
        <w:rPr>
          <w:b/>
          <w:i w:val="0"/>
        </w:rPr>
        <w:t>18.5 Neo4j-only (Integrated + Enterprise)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Cohort</w:t>
            </w:r>
          </w:p>
        </w:tc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Seats</w:t>
            </w:r>
          </w:p>
        </w:tc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Neo4j q/mo</w:t>
            </w:r>
          </w:p>
        </w:tc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≈ req/day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Integrated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600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1,200,000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~40,000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Enterprise (assumption)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1,000,000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~33,000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TOTAL Neo4j path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2,200,000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~73,333</w:t>
            </w:r>
          </w:p>
        </w:tc>
      </w:tr>
    </w:tbl>
    <w:p/>
    <w:p>
      <w:r>
        <w:rPr>
          <w:b/>
          <w:i w:val="0"/>
        </w:rPr>
        <w:t>18.6 Summary 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A1A2E" w:val="clear"/>
          </w:tcPr>
          <w:p>
            <w:r>
              <w:rPr>
                <w:b/>
                <w:color w:val="FFFFFF"/>
                <w:sz w:val="18"/>
              </w:rPr>
              <w:t>Limit</w:t>
            </w:r>
          </w:p>
        </w:tc>
        <w:tc>
          <w:tcPr>
            <w:tcW w:type="dxa" w:w="4896"/>
            <w:shd w:fill="1A1A2E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Design req/day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2,000,000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Profitability reference seats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12,300 (not a cap)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Neo4j-eligible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Integrated + Enterprise only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Neo4j planning load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~73,333 req/day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ALT Neo4j soft band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~25k–75k Neo4j req/day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Primary scale-up risk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LLM/GPU (BASE) or SLM GPU+fallback (ALT-Lean); then Qdrant/BQ</w:t>
            </w:r>
          </w:p>
        </w:tc>
      </w:tr>
    </w:tbl>
    <w:p/>
    <w:p>
      <w:pPr>
        <w:pStyle w:val="Heading2"/>
      </w:pPr>
      <w:r>
        <w:t>19. Cost Sensitivity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A1A2E" w:val="clear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264"/>
            <w:shd w:fill="1A1A2E" w:val="clear"/>
          </w:tcPr>
          <w:p>
            <w:r>
              <w:rPr>
                <w:b/>
                <w:color w:val="FFFFFF"/>
                <w:sz w:val="18"/>
              </w:rPr>
              <w:t>Annual</w:t>
            </w:r>
          </w:p>
        </w:tc>
        <w:tc>
          <w:tcPr>
            <w:tcW w:type="dxa" w:w="3264"/>
            <w:shd w:fill="1A1A2E" w:val="clear"/>
          </w:tcPr>
          <w:p>
            <w:r>
              <w:rPr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ALT-Lean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$834,960 · ~$0.00114/req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Recommended if SLM-first + light graph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ALT-SLM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$943,488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Keep Aura; shrink inference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ALT-Neo4j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$1,350,960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Keep dual inference; shrink graph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$1,459,488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Conservative ceiling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Heavy frontier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$2.0–3.0M+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Managed share / crawl / GPU blow-up</w:t>
            </w:r>
          </w:p>
        </w:tc>
      </w:tr>
    </w:tbl>
    <w:p/>
    <w:p>
      <w:pPr>
        <w:pStyle w:val="Heading2"/>
      </w:pPr>
      <w:r>
        <w:t>20. What Should Be Locked Before Procurement</w:t>
      </w:r>
    </w:p>
    <w:p>
      <w:pPr>
        <w:pStyle w:val="ListBullet"/>
      </w:pPr>
      <w:r>
        <w:t>% traffic on Afrocentric SLM vs managed fallback; tokens/sec on chosen g5 class.</w:t>
      </w:r>
    </w:p>
    <w:p>
      <w:pPr>
        <w:pStyle w:val="ListBullet"/>
      </w:pPr>
      <w:r>
        <w:t>Neo4j working set and whether Aura HA is required for Enterprise tenants.</w:t>
      </w:r>
    </w:p>
    <w:p>
      <w:pPr>
        <w:pStyle w:val="ListBullet"/>
      </w:pPr>
      <w:r>
        <w:t>Whether to ship primary or UX higher allowances.</w:t>
      </w:r>
    </w:p>
    <w:p>
      <w:pPr>
        <w:pStyle w:val="ListBullet"/>
      </w:pPr>
      <w:r>
        <w:t>Req/day forecast and LLM-heavy share.</w:t>
      </w:r>
    </w:p>
    <w:p>
      <w:pPr>
        <w:pStyle w:val="Heading2"/>
      </w:pPr>
      <w:r>
        <w:t>21. Bridge to Near-Term Commercialization (v10)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A1A2E" w:val="clear"/>
          </w:tcPr>
          <w:p>
            <w:r>
              <w:rPr>
                <w:b/>
                <w:color w:val="FFFFFF"/>
                <w:sz w:val="18"/>
              </w:rPr>
              <w:t>Lens</w:t>
            </w:r>
          </w:p>
        </w:tc>
        <w:tc>
          <w:tcPr>
            <w:tcW w:type="dxa" w:w="3264"/>
            <w:shd w:fill="1A1A2E" w:val="clear"/>
          </w:tcPr>
          <w:p>
            <w:r>
              <w:rPr>
                <w:b/>
                <w:color w:val="FFFFFF"/>
                <w:sz w:val="18"/>
              </w:rPr>
              <w:t>v10 launch</w:t>
            </w:r>
          </w:p>
        </w:tc>
        <w:tc>
          <w:tcPr>
            <w:tcW w:type="dxa" w:w="3264"/>
            <w:shd w:fill="1A1A2E" w:val="clear"/>
          </w:tcPr>
          <w:p>
            <w:r>
              <w:rPr>
                <w:b/>
                <w:color w:val="FFFFFF"/>
                <w:sz w:val="18"/>
              </w:rPr>
              <w:t>Enterprise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Traffic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5k/day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Design 2M / cons. 1M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COGS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~$0.0071/req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BASE $0.001999 · Lean $0.001144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Generate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Llama 3.1 8B API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Path to Afrocentric SLM (ALT-SLM/Lean)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Neo4j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Out of launch COGS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Integrated + Enterprise only</w:t>
            </w:r>
          </w:p>
        </w:tc>
      </w:tr>
    </w:tbl>
    <w:p/>
    <w:p>
      <w:pPr>
        <w:pStyle w:val="Heading2"/>
      </w:pPr>
      <w:r>
        <w:t>22. Profitability &amp; Break-Even</w:t>
      </w:r>
    </w:p>
    <w:p>
      <w:r>
        <w:rPr>
          <w:b w:val="0"/>
          <w:i w:val="0"/>
        </w:rPr>
        <w:t>Primary unit economics use BASE fully loaded $0.001999/req and primary quotas. ALT-Lean COGS ≈ $0.001144/req (~43% lower fully loaded). 12,300 seats = profitability reference; see §18 for capacity and §22.5 for UX quotas.</w:t>
      </w:r>
    </w:p>
    <w:p>
      <w:r>
        <w:rPr>
          <w:b/>
          <w:i w:val="0"/>
        </w:rPr>
        <w:t>22.1 Per-plan unit economics (primary quotas, BASE $/req)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  <w:shd w:fill="1A1A2E" w:val="clear"/>
          </w:tcPr>
          <w:p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1088"/>
            <w:shd w:fill="1A1A2E" w:val="clear"/>
          </w:tcPr>
          <w:p>
            <w:r>
              <w:rPr>
                <w:b/>
                <w:color w:val="FFFFFF"/>
                <w:sz w:val="18"/>
              </w:rPr>
              <w:t>Price/mo</w:t>
            </w:r>
          </w:p>
        </w:tc>
        <w:tc>
          <w:tcPr>
            <w:tcW w:type="dxa" w:w="1088"/>
            <w:shd w:fill="1A1A2E" w:val="clear"/>
          </w:tcPr>
          <w:p>
            <w:r>
              <w:rPr>
                <w:b/>
                <w:color w:val="FFFFFF"/>
                <w:sz w:val="18"/>
              </w:rPr>
              <w:t>Max q/mo</w:t>
            </w:r>
          </w:p>
        </w:tc>
        <w:tc>
          <w:tcPr>
            <w:tcW w:type="dxa" w:w="1088"/>
            <w:shd w:fill="1A1A2E" w:val="clear"/>
          </w:tcPr>
          <w:p>
            <w:r>
              <w:rPr>
                <w:b/>
                <w:color w:val="FFFFFF"/>
                <w:sz w:val="18"/>
              </w:rPr>
              <w:t>Neo4j?</w:t>
            </w:r>
          </w:p>
        </w:tc>
        <w:tc>
          <w:tcPr>
            <w:tcW w:type="dxa" w:w="1088"/>
            <w:shd w:fill="1A1A2E" w:val="clear"/>
          </w:tcPr>
          <w:p>
            <w:r>
              <w:rPr>
                <w:b/>
                <w:color w:val="FFFFFF"/>
                <w:sz w:val="18"/>
              </w:rPr>
              <w:t>COGS</w:t>
            </w:r>
          </w:p>
        </w:tc>
        <w:tc>
          <w:tcPr>
            <w:tcW w:type="dxa" w:w="1088"/>
            <w:shd w:fill="1A1A2E" w:val="clear"/>
          </w:tcPr>
          <w:p>
            <w:r>
              <w:rPr>
                <w:b/>
                <w:color w:val="FFFFFF"/>
                <w:sz w:val="18"/>
              </w:rPr>
              <w:t>Contribution</w:t>
            </w:r>
          </w:p>
        </w:tc>
        <w:tc>
          <w:tcPr>
            <w:tcW w:type="dxa" w:w="1088"/>
            <w:shd w:fill="1A1A2E" w:val="clear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088"/>
            <w:shd w:fill="1A1A2E" w:val="clear"/>
          </w:tcPr>
          <w:p>
            <w:r>
              <w:rPr>
                <w:b/>
                <w:color w:val="FFFFFF"/>
                <w:sz w:val="18"/>
              </w:rPr>
              <w:t>Subs→BASE</w:t>
            </w:r>
          </w:p>
        </w:tc>
        <w:tc>
          <w:tcPr>
            <w:tcW w:type="dxa" w:w="1088"/>
            <w:shd w:fill="1A1A2E" w:val="clear"/>
          </w:tcPr>
          <w:p>
            <w:r>
              <w:rPr>
                <w:b/>
                <w:color w:val="FFFFFF"/>
                <w:sz w:val="18"/>
              </w:rPr>
              <w:t>Subs→Lean</w:t>
            </w:r>
          </w:p>
        </w:tc>
      </w:tr>
      <w:tr>
        <w:tc>
          <w:tcPr>
            <w:tcW w:type="dxa" w:w="1088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$0.01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−$0.01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088"/>
          </w:tcPr>
          <w:p>
            <w:r>
              <w:rPr>
                <w:sz w:val="18"/>
              </w:rPr>
              <w:t>Farmers, Cooperatives &amp; Communities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$2.99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$0.10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$2.89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~97%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~40,677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~23,271</w:t>
            </w:r>
          </w:p>
        </w:tc>
      </w:tr>
      <w:tr>
        <w:tc>
          <w:tcPr>
            <w:tcW w:type="dxa" w:w="1088"/>
          </w:tcPr>
          <w:p>
            <w:r>
              <w:rPr>
                <w:sz w:val="18"/>
              </w:rPr>
              <w:t>Government &amp; Public Institutions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$9.99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$0.40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$9.59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~96%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~12,175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~6,965</w:t>
            </w:r>
          </w:p>
        </w:tc>
      </w:tr>
      <w:tr>
        <w:tc>
          <w:tcPr>
            <w:tcW w:type="dxa" w:w="1088"/>
          </w:tcPr>
          <w:p>
            <w:r>
              <w:rPr>
                <w:sz w:val="18"/>
              </w:rPr>
              <w:t>Foundations, NGOs &amp; Development Partners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$14.99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$0.80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$14.19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~95%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~8,114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~4,642</w:t>
            </w:r>
          </w:p>
        </w:tc>
      </w:tr>
      <w:tr>
        <w:tc>
          <w:tcPr>
            <w:tcW w:type="dxa" w:w="1088"/>
          </w:tcPr>
          <w:p>
            <w:r>
              <w:rPr>
                <w:sz w:val="18"/>
              </w:rPr>
              <w:t>Agribusinesses &amp; Financial Institutions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$24.99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$1.60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$23.39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~94%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~4,867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~2,784</w:t>
            </w:r>
          </w:p>
        </w:tc>
      </w:tr>
      <w:tr>
        <w:tc>
          <w:tcPr>
            <w:tcW w:type="dxa" w:w="1088"/>
          </w:tcPr>
          <w:p>
            <w:r>
              <w:rPr>
                <w:sz w:val="18"/>
              </w:rPr>
              <w:t>Integrated Account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$49.99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2,000 soft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$4.00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$45.99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~92%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~2,433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~1,392</w:t>
            </w:r>
          </w:p>
        </w:tc>
      </w:tr>
    </w:tbl>
    <w:p/>
    <w:p>
      <w:r>
        <w:rPr>
          <w:b/>
          <w:i w:val="0"/>
        </w:rPr>
        <w:t>22.2 Illustrative paying mix (raised ARR)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Seats</w:t>
            </w:r>
          </w:p>
        </w:tc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Price/mo</w:t>
            </w:r>
          </w:p>
        </w:tc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ARR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Farmers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6,000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$2.99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$215,280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Government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2,500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$9.99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$299,700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NGOs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$14.99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$359,760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Agribusinesses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1,200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$24.99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$359,856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Integrated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600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$49.99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$359,928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TOTAL (12,300 seats)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$1,594,524</w:t>
            </w:r>
          </w:p>
        </w:tc>
      </w:tr>
    </w:tbl>
    <w:p/>
    <w:p>
      <w:r>
        <w:rPr>
          <w:b w:val="0"/>
          <w:i w:val="0"/>
        </w:rPr>
        <w:t>$1,594,524 ARR. Profitability mix only — ~125,333 req/day at primary full allowance (~173,333 at UX quotas). Only 600 Integrated seats use Neo4j.</w:t>
      </w:r>
    </w:p>
    <w:p>
      <w:r>
        <w:rPr>
          <w:b/>
          <w:i w:val="0"/>
        </w:rPr>
        <w:t>22.3 Platform P&amp;L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A1A2E" w:val="clear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958"/>
            <w:shd w:fill="1A1A2E" w:val="clear"/>
          </w:tcPr>
          <w:p>
            <w:r>
              <w:rPr>
                <w:b/>
                <w:color w:val="FFFFFF"/>
                <w:sz w:val="18"/>
              </w:rPr>
              <w:t>ARR</w:t>
            </w:r>
          </w:p>
        </w:tc>
        <w:tc>
          <w:tcPr>
            <w:tcW w:type="dxa" w:w="1958"/>
            <w:shd w:fill="1A1A2E" w:val="clear"/>
          </w:tcPr>
          <w:p>
            <w:r>
              <w:rPr>
                <w:b/>
                <w:color w:val="FFFFFF"/>
                <w:sz w:val="18"/>
              </w:rPr>
              <w:t>Opex</w:t>
            </w:r>
          </w:p>
        </w:tc>
        <w:tc>
          <w:tcPr>
            <w:tcW w:type="dxa" w:w="1958"/>
            <w:shd w:fill="1A1A2E" w:val="clear"/>
          </w:tcPr>
          <w:p>
            <w:r>
              <w:rPr>
                <w:b/>
                <w:color w:val="FFFFFF"/>
                <w:sz w:val="18"/>
              </w:rPr>
              <w:t>Op. profit</w:t>
            </w:r>
          </w:p>
        </w:tc>
        <w:tc>
          <w:tcPr>
            <w:tcW w:type="dxa" w:w="1958"/>
            <w:shd w:fill="1A1A2E" w:val="clear"/>
          </w:tcPr>
          <w:p>
            <w:r>
              <w:rPr>
                <w:b/>
                <w:color w:val="FFFFFF"/>
                <w:sz w:val="18"/>
              </w:rPr>
              <w:t>Op. margin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  <w:t>Prior small mix (reference)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$437,550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$1,459,488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−$1,021,938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-233.6%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  <w:t>Raised mix vs BASE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$1,594,524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$1,459,488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$135,036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8.5%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  <w:t>Raised mix vs ALT-Neo4j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$1,594,524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$1,350,960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$243,564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15.3%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  <w:t>Raised mix vs ALT-SLM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$1,594,524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$943,488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$651,036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40.8%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  <w:t>Raised mix vs ALT-Lean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$1,594,524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$834,960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$759,564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47.6%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  <w:t>Raised mix vs ALT-Lean +15%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$1,594,524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$960,204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$634,320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39.8%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  <w:t>$2.5M ARR vs BASE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$2,500,000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$1,459,488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$1,040,512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41.6%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  <w:t>$5.0M ARR vs BASE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$5,000,000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$1,459,488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$3,540,512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70.8%</w:t>
            </w:r>
          </w:p>
        </w:tc>
      </w:tr>
    </w:tbl>
    <w:p/>
    <w:p>
      <w:r>
        <w:rPr>
          <w:b/>
          <w:i w:val="0"/>
        </w:rPr>
        <w:t>22.4 Contingency envelopes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A1A2E" w:val="clear"/>
          </w:tcPr>
          <w:p>
            <w:r>
              <w:rPr>
                <w:b/>
                <w:color w:val="FFFFFF"/>
                <w:sz w:val="18"/>
              </w:rPr>
              <w:t>Case</w:t>
            </w:r>
          </w:p>
        </w:tc>
        <w:tc>
          <w:tcPr>
            <w:tcW w:type="dxa" w:w="1958"/>
            <w:shd w:fill="1A1A2E" w:val="clear"/>
          </w:tcPr>
          <w:p>
            <w:r>
              <w:rPr>
                <w:b/>
                <w:color w:val="FFFFFF"/>
                <w:sz w:val="18"/>
              </w:rPr>
              <w:t>ARR</w:t>
            </w:r>
          </w:p>
        </w:tc>
        <w:tc>
          <w:tcPr>
            <w:tcW w:type="dxa" w:w="1958"/>
            <w:shd w:fill="1A1A2E" w:val="clear"/>
          </w:tcPr>
          <w:p>
            <w:r>
              <w:rPr>
                <w:b/>
                <w:color w:val="FFFFFF"/>
                <w:sz w:val="18"/>
              </w:rPr>
              <w:t>Opex</w:t>
            </w:r>
          </w:p>
        </w:tc>
        <w:tc>
          <w:tcPr>
            <w:tcW w:type="dxa" w:w="1958"/>
            <w:shd w:fill="1A1A2E" w:val="clear"/>
          </w:tcPr>
          <w:p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958"/>
            <w:shd w:fill="1A1A2E" w:val="clear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  <w:t>Raised vs BASE +15%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$1,594,524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$1,678,411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−$83,887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-5.3%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  <w:t>Raised vs ALT-Lean +15%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$1,594,524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$960,204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$634,320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39.8%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  <w:t>$2.5M vs BASE +15%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$2,500,000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$1,678,411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$821,589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32.9%</w:t>
            </w:r>
          </w:p>
        </w:tc>
      </w:tr>
    </w:tbl>
    <w:p/>
    <w:p>
      <w:r>
        <w:rPr>
          <w:b/>
          <w:i w:val="0"/>
        </w:rPr>
        <w:t>Raised mix vs ALT-Lean: +$759,564 (~47.6% op. margin). vs BASE: +$135,036 (~8.5%). vs ALT-SLM: +$651,036 (~40.8%).</w:t>
      </w:r>
    </w:p>
    <w:p>
      <w:r>
        <w:rPr>
          <w:b/>
          <w:i w:val="0"/>
        </w:rPr>
        <w:t>22.5 Alternate profitability (higher allowances / UX)</w:t>
      </w:r>
    </w:p>
    <w:p>
      <w:r>
        <w:rPr>
          <w:b w:val="0"/>
          <w:i/>
        </w:rPr>
        <w:t>Product option to improve UX with higher monthly quotas. Prices unchanged → platform ARR break-even unchanged. Unit COGS rises modestly; margins stay ~92–93%. Capacity impact: see §18.4 (~173k req/day).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Primary q/mo</w:t>
            </w:r>
          </w:p>
        </w:tc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UX alt q/mo</w:t>
            </w:r>
          </w:p>
        </w:tc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Price/mo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Farmers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$2.99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Government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$9.99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NGOs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600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$14.99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Agribusinesses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$24.99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Integrated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2,000 soft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2,000 soft (unchanged)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$49.99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A1A2E" w:val="clear"/>
          </w:tcPr>
          <w:p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1958"/>
            <w:shd w:fill="1A1A2E" w:val="clear"/>
          </w:tcPr>
          <w:p>
            <w:r>
              <w:rPr>
                <w:b/>
                <w:color w:val="FFFFFF"/>
                <w:sz w:val="18"/>
              </w:rPr>
              <w:t>UX max q/mo</w:t>
            </w:r>
          </w:p>
        </w:tc>
        <w:tc>
          <w:tcPr>
            <w:tcW w:type="dxa" w:w="1958"/>
            <w:shd w:fill="1A1A2E" w:val="clear"/>
          </w:tcPr>
          <w:p>
            <w:r>
              <w:rPr>
                <w:b/>
                <w:color w:val="FFFFFF"/>
                <w:sz w:val="18"/>
              </w:rPr>
              <w:t>COGS @ BASE $/req</w:t>
            </w:r>
          </w:p>
        </w:tc>
        <w:tc>
          <w:tcPr>
            <w:tcW w:type="dxa" w:w="1958"/>
            <w:shd w:fill="1A1A2E" w:val="clear"/>
          </w:tcPr>
          <w:p>
            <w:r>
              <w:rPr>
                <w:b/>
                <w:color w:val="FFFFFF"/>
                <w:sz w:val="18"/>
              </w:rPr>
              <w:t>Contribution</w:t>
            </w:r>
          </w:p>
        </w:tc>
        <w:tc>
          <w:tcPr>
            <w:tcW w:type="dxa" w:w="1958"/>
            <w:shd w:fill="1A1A2E" w:val="clear"/>
          </w:tcPr>
          <w:p>
            <w:r>
              <w:rPr>
                <w:b/>
                <w:color w:val="FFFFFF"/>
                <w:sz w:val="18"/>
              </w:rPr>
              <w:t>Gross margin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$0.04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−$0.04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  <w:t>Farmers, Cooperatives &amp; Communities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$0.20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$2.79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~93%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  <w:t>Government &amp; Public Institutions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$0.80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$9.19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~92%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  <w:t>Foundations, NGOs &amp; Development Partners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600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$1.20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$13.79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~92%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  <w:t>Agribusinesses &amp; Financial Institutions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1,000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$2.00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$22.99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~92%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  <w:t>Integrated Account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2,000 soft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$4.00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$45.99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~92%</w:t>
            </w:r>
          </w:p>
        </w:tc>
      </w:tr>
    </w:tbl>
    <w:p/>
    <w:p>
      <w:r>
        <w:rPr>
          <w:b/>
          <w:i w:val="0"/>
        </w:rPr>
        <w:t>Raised-mix load at UX allowances (same 12,300 seats)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Seats</w:t>
            </w:r>
          </w:p>
        </w:tc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UX q/mo</w:t>
            </w:r>
          </w:p>
        </w:tc>
        <w:tc>
          <w:tcPr>
            <w:tcW w:type="dxa" w:w="2448"/>
            <w:shd w:fill="1A1A2E" w:val="clear"/>
          </w:tcPr>
          <w:p>
            <w:r>
              <w:rPr>
                <w:b/>
                <w:color w:val="FFFFFF"/>
                <w:sz w:val="18"/>
              </w:rPr>
              <w:t>Queries/mo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Farmers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6,000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600,000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Government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2,500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1,000,000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NGOs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600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1,200,000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Agribusinesses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1,200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1,200,000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Integrated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600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1,200,000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12,300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5,200,000</w:t>
            </w:r>
          </w:p>
        </w:tc>
      </w:tr>
    </w:tbl>
    <w:p/>
    <w:p>
      <w:r>
        <w:rPr>
          <w:b/>
          <w:i w:val="0"/>
        </w:rPr>
        <w:t>≈ 5,200,000 q/mo ≈ 173,333 req/day (~8.7% of 2M design). Neo4j path unchanged (Integrated still 2,000). UX quotas are compatible with ALT-Lean capacity and still leave large headroom.</w:t>
      </w:r>
    </w:p>
    <w:p>
      <w:pPr>
        <w:pStyle w:val="Heading2"/>
      </w:pPr>
      <w:r>
        <w:t>23. Final Recommendation</w:t>
      </w:r>
    </w:p>
    <w:p>
      <w:r>
        <w:rPr>
          <w:b w:val="0"/>
          <w:i w:val="0"/>
        </w:rPr>
        <w:t>Use BASE ($1,459,488/yr) as the conservative ceiling (Aura Neo4j + dual inference). For the Afrocentric multilingual SLM thesis with light graph use, evaluate ALT-Lean ($834,960/yr, $0.001144/req) — saving $624,528/yr vs BASE. With 12,300 seats ($1,594,524 ARR), ALT-Lean yields ~48% operating margin. UX higher allowances (§22.5) improve product feel with small COGS impact and ~173k req/day mix load. Design capacity remains 2M req/day; Neo4j stays Integrated + Enterprise only.</w:t>
      </w:r>
    </w:p>
    <w:p>
      <w:pPr>
        <w:pStyle w:val="Heading2"/>
      </w:pPr>
      <w:r>
        <w:t>24. Sources (Public Pricing References)</w:t>
      </w:r>
    </w:p>
    <w:p>
      <w:pPr>
        <w:pStyle w:val="ListBullet"/>
      </w:pPr>
      <w:r>
        <w:t>Neo4j: https://neo4j.com/pricing/</w:t>
      </w:r>
    </w:p>
    <w:p>
      <w:pPr>
        <w:pStyle w:val="ListBullet"/>
      </w:pPr>
      <w:r>
        <w:t>Qdrant / Redis / BigQuery / Langfuse / Airbyte / Cursor / OpenAI — public pricing pages</w:t>
      </w:r>
    </w:p>
    <w:p>
      <w:pPr>
        <w:pStyle w:val="ListBullet"/>
      </w:pPr>
      <w:r>
        <w:t>AWS SageMaker / EC2 instance rates</w:t>
      </w:r>
    </w:p>
    <w:p>
      <w:pPr>
        <w:pStyle w:val="ListBullet"/>
      </w:pPr>
      <w:r>
        <w:t>Near-term: ml-eng/docs/askADZA_commercialization_cost_summary_v10.docx</w:t>
      </w:r>
    </w:p>
    <w:p>
      <w:r>
        <w:rPr>
          <w:b w:val="0"/>
          <w:i/>
        </w:rPr>
        <w:t>Disclaimer: Planning estimates. Confirm with quotes and telemetry. Capacity and SLM-first figures are budget-backed planning limits, not load-test certifications.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