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ANALYSTLAB AFRICA</w:t>
      </w:r>
    </w:p>
    <w:p>
      <w:pPr>
        <w:jc w:val="center"/>
      </w:pPr>
      <w:r>
        <w:rPr>
          <w:b/>
          <w:sz w:val="36"/>
        </w:rPr>
        <w:t>HealthConnect Clinic Experience Lab</w:t>
        <w:br/>
        <w:t>Week 7 Data Analytics Report</w:t>
      </w:r>
    </w:p>
    <w:p>
      <w:pPr>
        <w:jc w:val="center"/>
      </w:pPr>
      <w:r>
        <w:rPr>
          <w:i/>
          <w:sz w:val="24"/>
        </w:rPr>
        <w:t>Advanced Analytics, Testing, Refinement &amp; Validation</w:t>
      </w:r>
    </w:p>
    <w:p>
      <w:pPr>
        <w:pStyle w:val="Heading1"/>
      </w:pPr>
      <w:r>
        <w:t>Executive Summary</w:t>
      </w:r>
    </w:p>
    <w:p>
      <w:r>
        <w:t>Week 7 builds directly on the Week 6 Advanced Analytics &amp; Decision Support work. The purpose of this phase is to test, validate and refine the existing Data Analytics outputs rather than repeat the Week 6 exploratory analysis.</w:t>
      </w:r>
    </w:p>
    <w:p>
      <w:r>
        <w:t>Three validation activities have been completed so far: validation of the main Power BI KPIs, testing of reminder status across appointment types, and testing of previous no-show history across appointment types.</w:t>
      </w:r>
    </w:p>
    <w:p>
      <w:r>
        <w:t>The KPI checks were successful. The previous no-show finding remained consistent across all four appointment types. The reminder relationship was not uniform: Diagnostic Test, Specialist Consultation and Follow-up showed lower observed no-show rates for reminder-sent appointments, while General Consultation showed the reverse pattern.</w:t>
      </w:r>
    </w:p>
    <w:p>
      <w:r>
        <w:t>The key Week 7 improvement is therefore analytical precision. Reminder status should not be presented as having a uniform relationship with no-shows across appointment types. Previous no-show history remains a validated segmentation signal. All findings remain descriptive associations and should not be interpreted as causal effects.</w:t>
      </w:r>
    </w:p>
    <w:p>
      <w:pPr>
        <w:pStyle w:val="Heading1"/>
      </w:pPr>
      <w:r>
        <w:t>1. Week 7 Objective</w:t>
      </w:r>
    </w:p>
    <w:p>
      <w:pPr>
        <w:pStyle w:val="ListBullet"/>
      </w:pPr>
      <w:r>
        <w:t>Validate the Week 6 Power BI KPIs.</w:t>
      </w:r>
    </w:p>
    <w:p>
      <w:pPr>
        <w:pStyle w:val="ListBullet"/>
      </w:pPr>
      <w:r>
        <w:t>Test whether important Week 6 findings remain stable across appointment types.</w:t>
      </w:r>
    </w:p>
    <w:p>
      <w:pPr>
        <w:pStyle w:val="ListBullet"/>
      </w:pPr>
      <w:r>
        <w:t>Identify weaknesses or non-uniform patterns in the existing analytical narrative.</w:t>
      </w:r>
    </w:p>
    <w:p>
      <w:pPr>
        <w:pStyle w:val="ListBullet"/>
      </w:pPr>
      <w:r>
        <w:t>Refine interpretations where testing shows that a Week 6 statement needs additional context.</w:t>
      </w:r>
    </w:p>
    <w:p>
      <w:pPr>
        <w:pStyle w:val="ListBullet"/>
      </w:pPr>
      <w:r>
        <w:t>Retest and document validated outputs.</w:t>
      </w:r>
    </w:p>
    <w:p>
      <w:pPr>
        <w:pStyle w:val="ListBullet"/>
      </w:pPr>
      <w:r>
        <w:t>Prepare the Data Analytics work for Week 8 integration and cross-track validation.</w:t>
      </w:r>
    </w:p>
    <w:p>
      <w:pPr>
        <w:pStyle w:val="Heading1"/>
      </w:pPr>
      <w:r>
        <w:t>2. Week 6 → Week 7 Progression</w:t>
      </w:r>
    </w:p>
    <w:p>
      <w:r>
        <w:t>The Week 7 workflow follows: Week 6 Output → Test → Identify Finding → Refine → Retest → Validate → Document → Prepare for Week 8.</w:t>
      </w:r>
    </w:p>
    <w:p>
      <w:r>
        <w:t>The work therefore focuses on testing existing outputs instead of rebuilding the Power BI dashboard or repeating the full exploratory analysis.</w:t>
      </w:r>
    </w:p>
    <w:p>
      <w:pPr>
        <w:pStyle w:val="Heading1"/>
      </w:pPr>
      <w:r>
        <w:t>3. Dataset Overview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Item</w:t>
            </w:r>
          </w:p>
        </w:tc>
        <w:tc>
          <w:tcPr>
            <w:tcW w:type="dxa" w:w="5112"/>
          </w:tcPr>
          <w:p>
            <w:r>
              <w:t>Value</w:t>
            </w:r>
          </w:p>
        </w:tc>
      </w:tr>
      <w:tr>
        <w:tc>
          <w:tcPr>
            <w:tcW w:type="dxa" w:w="5112"/>
          </w:tcPr>
          <w:p>
            <w:r>
              <w:t>Records</w:t>
            </w:r>
          </w:p>
        </w:tc>
        <w:tc>
          <w:tcPr>
            <w:tcW w:type="dxa" w:w="5112"/>
          </w:tcPr>
          <w:p>
            <w:r>
              <w:t>5,000</w:t>
            </w:r>
          </w:p>
        </w:tc>
      </w:tr>
      <w:tr>
        <w:tc>
          <w:tcPr>
            <w:tcW w:type="dxa" w:w="5112"/>
          </w:tcPr>
          <w:p>
            <w:r>
              <w:t>Unique appointment IDs</w:t>
            </w:r>
          </w:p>
        </w:tc>
        <w:tc>
          <w:tcPr>
            <w:tcW w:type="dxa" w:w="5112"/>
          </w:tcPr>
          <w:p>
            <w:r>
              <w:t>5,000</w:t>
            </w:r>
          </w:p>
        </w:tc>
      </w:tr>
      <w:tr>
        <w:tc>
          <w:tcPr>
            <w:tcW w:type="dxa" w:w="5112"/>
          </w:tcPr>
          <w:p>
            <w:r>
              <w:t>Unique patients</w:t>
            </w:r>
          </w:p>
        </w:tc>
        <w:tc>
          <w:tcPr>
            <w:tcW w:type="dxa" w:w="5112"/>
          </w:tcPr>
          <w:p>
            <w:r>
              <w:t>1,696</w:t>
            </w:r>
          </w:p>
        </w:tc>
      </w:tr>
      <w:tr>
        <w:tc>
          <w:tcPr>
            <w:tcW w:type="dxa" w:w="5112"/>
          </w:tcPr>
          <w:p>
            <w:r>
              <w:t>Appointment period</w:t>
            </w:r>
          </w:p>
        </w:tc>
        <w:tc>
          <w:tcPr>
            <w:tcW w:type="dxa" w:w="5112"/>
          </w:tcPr>
          <w:p>
            <w:r>
              <w:t>1 January 2025 – 30 June 2026</w:t>
            </w:r>
          </w:p>
        </w:tc>
      </w:tr>
      <w:tr>
        <w:tc>
          <w:tcPr>
            <w:tcW w:type="dxa" w:w="5112"/>
          </w:tcPr>
          <w:p>
            <w:r>
              <w:t>No-Show appointments</w:t>
            </w:r>
          </w:p>
        </w:tc>
        <w:tc>
          <w:tcPr>
            <w:tcW w:type="dxa" w:w="5112"/>
          </w:tcPr>
          <w:p>
            <w:r>
              <w:t>2,423</w:t>
            </w:r>
          </w:p>
        </w:tc>
      </w:tr>
      <w:tr>
        <w:tc>
          <w:tcPr>
            <w:tcW w:type="dxa" w:w="5112"/>
          </w:tcPr>
          <w:p>
            <w:r>
              <w:t>Attended appointments</w:t>
            </w:r>
          </w:p>
        </w:tc>
        <w:tc>
          <w:tcPr>
            <w:tcW w:type="dxa" w:w="5112"/>
          </w:tcPr>
          <w:p>
            <w:r>
              <w:t>2,314</w:t>
            </w:r>
          </w:p>
        </w:tc>
      </w:tr>
      <w:tr>
        <w:tc>
          <w:tcPr>
            <w:tcW w:type="dxa" w:w="5112"/>
          </w:tcPr>
          <w:p>
            <w:r>
              <w:t>Cancelled appointments</w:t>
            </w:r>
          </w:p>
        </w:tc>
        <w:tc>
          <w:tcPr>
            <w:tcW w:type="dxa" w:w="5112"/>
          </w:tcPr>
          <w:p>
            <w:r>
              <w:t>263</w:t>
            </w:r>
          </w:p>
        </w:tc>
      </w:tr>
    </w:tbl>
    <w:p>
      <w:r>
        <w:t>Patients can have multiple appointments, so appointment records are not fully independent observations.</w:t>
      </w:r>
    </w:p>
    <w:p>
      <w:pPr>
        <w:pStyle w:val="Heading1"/>
      </w:pPr>
      <w:r>
        <w:t>4. Week 7 Testing &amp; Validation</w:t>
      </w:r>
    </w:p>
    <w:p>
      <w:pPr>
        <w:pStyle w:val="Heading2"/>
      </w:pPr>
      <w:r>
        <w:t>4.1 KPI Validation</w:t>
      </w:r>
    </w:p>
    <w:p>
      <w:r>
        <w:t>The main Power BI KPI outputs were tested for correct operation, including total appointments, total cancellations, no-show rate, reminder coverage rate, average booking lead days and appointment outcome totals.</w:t>
      </w:r>
    </w:p>
    <w:p>
      <w:r>
        <w:t>Result: All tested KPIs were working correctly. No analytical correction was required.</w:t>
      </w:r>
    </w:p>
    <w:p>
      <w:pPr>
        <w:pStyle w:val="Heading2"/>
      </w:pPr>
      <w:r>
        <w:t>4.2 Reminder Status × Appointment Type</w:t>
      </w:r>
    </w:p>
    <w:p>
      <w:r>
        <w:t>Testing objective: determine whether the Week 6 reminder-status pattern remained consistent across appointment types.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t>Appointment Type</w:t>
            </w:r>
          </w:p>
        </w:tc>
        <w:tc>
          <w:tcPr>
            <w:tcW w:type="dxa" w:w="2556"/>
          </w:tcPr>
          <w:p>
            <w:r>
              <w:t>Total</w:t>
            </w:r>
          </w:p>
        </w:tc>
        <w:tc>
          <w:tcPr>
            <w:tcW w:type="dxa" w:w="2556"/>
          </w:tcPr>
          <w:p>
            <w:r>
              <w:t>Reminder Sent</w:t>
            </w:r>
          </w:p>
        </w:tc>
        <w:tc>
          <w:tcPr>
            <w:tcW w:type="dxa" w:w="2556"/>
          </w:tcPr>
          <w:p>
            <w:r>
              <w:t>Reminder Not Sent</w:t>
            </w:r>
          </w:p>
        </w:tc>
      </w:tr>
      <w:tr>
        <w:tc>
          <w:tcPr>
            <w:tcW w:type="dxa" w:w="2556"/>
          </w:tcPr>
          <w:p>
            <w:r>
              <w:t>Diagnostic Test</w:t>
            </w:r>
          </w:p>
        </w:tc>
        <w:tc>
          <w:tcPr>
            <w:tcW w:type="dxa" w:w="2556"/>
          </w:tcPr>
          <w:p>
            <w:r>
              <w:t>593</w:t>
            </w:r>
          </w:p>
        </w:tc>
        <w:tc>
          <w:tcPr>
            <w:tcW w:type="dxa" w:w="2556"/>
          </w:tcPr>
          <w:p>
            <w:r>
              <w:t>449 — 47.88%</w:t>
            </w:r>
          </w:p>
        </w:tc>
        <w:tc>
          <w:tcPr>
            <w:tcW w:type="dxa" w:w="2556"/>
          </w:tcPr>
          <w:p>
            <w:r>
              <w:t>144 — 55.56%</w:t>
            </w:r>
          </w:p>
        </w:tc>
      </w:tr>
      <w:tr>
        <w:tc>
          <w:tcPr>
            <w:tcW w:type="dxa" w:w="2556"/>
          </w:tcPr>
          <w:p>
            <w:r>
              <w:t>Specialist Consultation</w:t>
            </w:r>
          </w:p>
        </w:tc>
        <w:tc>
          <w:tcPr>
            <w:tcW w:type="dxa" w:w="2556"/>
          </w:tcPr>
          <w:p>
            <w:r>
              <w:t>900</w:t>
            </w:r>
          </w:p>
        </w:tc>
        <w:tc>
          <w:tcPr>
            <w:tcW w:type="dxa" w:w="2556"/>
          </w:tcPr>
          <w:p>
            <w:r>
              <w:t>654 — 45.87%</w:t>
            </w:r>
          </w:p>
        </w:tc>
        <w:tc>
          <w:tcPr>
            <w:tcW w:type="dxa" w:w="2556"/>
          </w:tcPr>
          <w:p>
            <w:r>
              <w:t>246 — 51.63%</w:t>
            </w:r>
          </w:p>
        </w:tc>
      </w:tr>
      <w:tr>
        <w:tc>
          <w:tcPr>
            <w:tcW w:type="dxa" w:w="2556"/>
          </w:tcPr>
          <w:p>
            <w:r>
              <w:t>Follow-up</w:t>
            </w:r>
          </w:p>
        </w:tc>
        <w:tc>
          <w:tcPr>
            <w:tcW w:type="dxa" w:w="2556"/>
          </w:tcPr>
          <w:p>
            <w:r>
              <w:t>1,421</w:t>
            </w:r>
          </w:p>
        </w:tc>
        <w:tc>
          <w:tcPr>
            <w:tcW w:type="dxa" w:w="2556"/>
          </w:tcPr>
          <w:p>
            <w:r>
              <w:t>1,037 — 50.53%</w:t>
            </w:r>
          </w:p>
        </w:tc>
        <w:tc>
          <w:tcPr>
            <w:tcW w:type="dxa" w:w="2556"/>
          </w:tcPr>
          <w:p>
            <w:r>
              <w:t>384 — 53.13%</w:t>
            </w:r>
          </w:p>
        </w:tc>
      </w:tr>
      <w:tr>
        <w:tc>
          <w:tcPr>
            <w:tcW w:type="dxa" w:w="2556"/>
          </w:tcPr>
          <w:p>
            <w:r>
              <w:t>General Consultation</w:t>
            </w:r>
          </w:p>
        </w:tc>
        <w:tc>
          <w:tcPr>
            <w:tcW w:type="dxa" w:w="2556"/>
          </w:tcPr>
          <w:p>
            <w:r>
              <w:t>2,086</w:t>
            </w:r>
          </w:p>
        </w:tc>
        <w:tc>
          <w:tcPr>
            <w:tcW w:type="dxa" w:w="2556"/>
          </w:tcPr>
          <w:p>
            <w:r>
              <w:t>1,494 — 54.65%</w:t>
            </w:r>
          </w:p>
        </w:tc>
        <w:tc>
          <w:tcPr>
            <w:tcW w:type="dxa" w:w="2556"/>
          </w:tcPr>
          <w:p>
            <w:r>
              <w:t>592 — 49.16%</w:t>
            </w:r>
          </w:p>
        </w:tc>
      </w:tr>
    </w:tbl>
    <w:p>
      <w:r>
        <w:t>Finding: The reminder relationship was not consistent across appointment types. Diagnostic Test, Specialist Consultation and Follow-up had lower observed no-show rates in the reminder-sent group. General Consultation had a higher observed no-show rate in the reminder-sent group.</w:t>
      </w:r>
    </w:p>
    <w:p>
      <w:r>
        <w:t>Action: Refine the analytical narrative so that reminder status is not presented as a uniform relationship with no-shows across appointment categories.</w:t>
      </w:r>
    </w:p>
    <w:p>
      <w:r>
        <w:t>Retest status: The segmentation result itself has been confirmed. The required refinement is interpretive rather than a dashboard calculation correction.</w:t>
      </w:r>
    </w:p>
    <w:p>
      <w:pPr>
        <w:pStyle w:val="Heading2"/>
      </w:pPr>
      <w:r>
        <w:t>4.3 Appointment Type × Previous No-Show History</w:t>
      </w:r>
    </w:p>
    <w:p>
      <w:r>
        <w:t>Testing objective: determine whether the Week 6 previous no-show finding remained consistent when segmented by appointment type.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</w:tcPr>
          <w:p>
            <w:r>
              <w:t>Appointment Type</w:t>
            </w:r>
          </w:p>
        </w:tc>
        <w:tc>
          <w:tcPr>
            <w:tcW w:type="dxa" w:w="2045"/>
          </w:tcPr>
          <w:p>
            <w:r>
              <w:t>0 Previous</w:t>
            </w:r>
          </w:p>
        </w:tc>
        <w:tc>
          <w:tcPr>
            <w:tcW w:type="dxa" w:w="2045"/>
          </w:tcPr>
          <w:p>
            <w:r>
              <w:t>1 Previous</w:t>
            </w:r>
          </w:p>
        </w:tc>
        <w:tc>
          <w:tcPr>
            <w:tcW w:type="dxa" w:w="2045"/>
          </w:tcPr>
          <w:p>
            <w:r>
              <w:t>2 Previous</w:t>
            </w:r>
          </w:p>
        </w:tc>
        <w:tc>
          <w:tcPr>
            <w:tcW w:type="dxa" w:w="2045"/>
          </w:tcPr>
          <w:p>
            <w:r>
              <w:t>3+ Previous</w:t>
            </w:r>
          </w:p>
        </w:tc>
      </w:tr>
      <w:tr>
        <w:tc>
          <w:tcPr>
            <w:tcW w:type="dxa" w:w="2045"/>
          </w:tcPr>
          <w:p>
            <w:r>
              <w:t>Diagnostic Test</w:t>
            </w:r>
          </w:p>
        </w:tc>
        <w:tc>
          <w:tcPr>
            <w:tcW w:type="dxa" w:w="2045"/>
          </w:tcPr>
          <w:p>
            <w:r>
              <w:t>44.67%</w:t>
            </w:r>
          </w:p>
        </w:tc>
        <w:tc>
          <w:tcPr>
            <w:tcW w:type="dxa" w:w="2045"/>
          </w:tcPr>
          <w:p>
            <w:r>
              <w:t>54.64%</w:t>
            </w:r>
          </w:p>
        </w:tc>
        <w:tc>
          <w:tcPr>
            <w:tcW w:type="dxa" w:w="2045"/>
          </w:tcPr>
          <w:p>
            <w:r>
              <w:t>57.38%</w:t>
            </w:r>
          </w:p>
        </w:tc>
        <w:tc>
          <w:tcPr>
            <w:tcW w:type="dxa" w:w="2045"/>
          </w:tcPr>
          <w:p>
            <w:r>
              <w:t>81.82%</w:t>
            </w:r>
          </w:p>
        </w:tc>
      </w:tr>
      <w:tr>
        <w:tc>
          <w:tcPr>
            <w:tcW w:type="dxa" w:w="2045"/>
          </w:tcPr>
          <w:p>
            <w:r>
              <w:t>Specialist Consultation</w:t>
            </w:r>
          </w:p>
        </w:tc>
        <w:tc>
          <w:tcPr>
            <w:tcW w:type="dxa" w:w="2045"/>
          </w:tcPr>
          <w:p>
            <w:r>
              <w:t>43.89%</w:t>
            </w:r>
          </w:p>
        </w:tc>
        <w:tc>
          <w:tcPr>
            <w:tcW w:type="dxa" w:w="2045"/>
          </w:tcPr>
          <w:p>
            <w:r>
              <w:t>49.81%</w:t>
            </w:r>
          </w:p>
        </w:tc>
        <w:tc>
          <w:tcPr>
            <w:tcW w:type="dxa" w:w="2045"/>
          </w:tcPr>
          <w:p>
            <w:r>
              <w:t>60.00%</w:t>
            </w:r>
          </w:p>
        </w:tc>
        <w:tc>
          <w:tcPr>
            <w:tcW w:type="dxa" w:w="2045"/>
          </w:tcPr>
          <w:p>
            <w:r>
              <w:t>65.22%</w:t>
            </w:r>
          </w:p>
        </w:tc>
      </w:tr>
      <w:tr>
        <w:tc>
          <w:tcPr>
            <w:tcW w:type="dxa" w:w="2045"/>
          </w:tcPr>
          <w:p>
            <w:r>
              <w:t>Follow-up</w:t>
            </w:r>
          </w:p>
        </w:tc>
        <w:tc>
          <w:tcPr>
            <w:tcW w:type="dxa" w:w="2045"/>
          </w:tcPr>
          <w:p>
            <w:r>
              <w:t>49.29%</w:t>
            </w:r>
          </w:p>
        </w:tc>
        <w:tc>
          <w:tcPr>
            <w:tcW w:type="dxa" w:w="2045"/>
          </w:tcPr>
          <w:p>
            <w:r>
              <w:t>53.56%</w:t>
            </w:r>
          </w:p>
        </w:tc>
        <w:tc>
          <w:tcPr>
            <w:tcW w:type="dxa" w:w="2045"/>
          </w:tcPr>
          <w:p>
            <w:r>
              <w:t>65.19%</w:t>
            </w:r>
          </w:p>
        </w:tc>
        <w:tc>
          <w:tcPr>
            <w:tcW w:type="dxa" w:w="2045"/>
          </w:tcPr>
          <w:p>
            <w:r>
              <w:t>70.00%</w:t>
            </w:r>
          </w:p>
        </w:tc>
      </w:tr>
      <w:tr>
        <w:tc>
          <w:tcPr>
            <w:tcW w:type="dxa" w:w="2045"/>
          </w:tcPr>
          <w:p>
            <w:r>
              <w:t>General Consultation</w:t>
            </w:r>
          </w:p>
        </w:tc>
        <w:tc>
          <w:tcPr>
            <w:tcW w:type="dxa" w:w="2045"/>
          </w:tcPr>
          <w:p>
            <w:r>
              <w:t>40.43%</w:t>
            </w:r>
          </w:p>
        </w:tc>
        <w:tc>
          <w:tcPr>
            <w:tcW w:type="dxa" w:w="2045"/>
          </w:tcPr>
          <w:p>
            <w:r>
              <w:t>54.60%</w:t>
            </w:r>
          </w:p>
        </w:tc>
        <w:tc>
          <w:tcPr>
            <w:tcW w:type="dxa" w:w="2045"/>
          </w:tcPr>
          <w:p>
            <w:r>
              <w:t>55.23%</w:t>
            </w:r>
          </w:p>
        </w:tc>
        <w:tc>
          <w:tcPr>
            <w:tcW w:type="dxa" w:w="2045"/>
          </w:tcPr>
          <w:p>
            <w:r>
              <w:t>66.67%</w:t>
            </w:r>
          </w:p>
        </w:tc>
      </w:tr>
    </w:tbl>
    <w:p>
      <w:r>
        <w:t>Finding: Across all four appointment types, higher previous no-show history corresponded with higher observed no-show rates.</w:t>
      </w:r>
    </w:p>
    <w:p>
      <w:r>
        <w:t>Action: No analytical correction was required. The Week 6 finding was retained.</w:t>
      </w:r>
    </w:p>
    <w:p>
      <w:r>
        <w:t>Retest status: Validated through appointment-type segmentation.</w:t>
      </w:r>
    </w:p>
    <w:p>
      <w:pPr>
        <w:pStyle w:val="Heading1"/>
      </w:pPr>
      <w:r>
        <w:t>5. Testing &amp; Validation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78"/>
        <w:gridCol w:w="1278"/>
        <w:gridCol w:w="1278"/>
        <w:gridCol w:w="1278"/>
        <w:gridCol w:w="1278"/>
        <w:gridCol w:w="1278"/>
        <w:gridCol w:w="1278"/>
        <w:gridCol w:w="1278"/>
      </w:tblGrid>
      <w:tr>
        <w:tc>
          <w:tcPr>
            <w:tcW w:type="dxa" w:w="1278"/>
          </w:tcPr>
          <w:p>
            <w:r>
              <w:t>ID</w:t>
            </w:r>
          </w:p>
        </w:tc>
        <w:tc>
          <w:tcPr>
            <w:tcW w:type="dxa" w:w="1278"/>
          </w:tcPr>
          <w:p>
            <w:r>
              <w:t>Component Tested</w:t>
            </w:r>
          </w:p>
        </w:tc>
        <w:tc>
          <w:tcPr>
            <w:tcW w:type="dxa" w:w="1278"/>
          </w:tcPr>
          <w:p>
            <w:r>
              <w:t>Objective</w:t>
            </w:r>
          </w:p>
        </w:tc>
        <w:tc>
          <w:tcPr>
            <w:tcW w:type="dxa" w:w="1278"/>
          </w:tcPr>
          <w:p>
            <w:r>
              <w:t>Expected</w:t>
            </w:r>
          </w:p>
        </w:tc>
        <w:tc>
          <w:tcPr>
            <w:tcW w:type="dxa" w:w="1278"/>
          </w:tcPr>
          <w:p>
            <w:r>
              <w:t>Actual</w:t>
            </w:r>
          </w:p>
        </w:tc>
        <w:tc>
          <w:tcPr>
            <w:tcW w:type="dxa" w:w="1278"/>
          </w:tcPr>
          <w:p>
            <w:r>
              <w:t>Status</w:t>
            </w:r>
          </w:p>
        </w:tc>
        <w:tc>
          <w:tcPr>
            <w:tcW w:type="dxa" w:w="1278"/>
          </w:tcPr>
          <w:p>
            <w:r>
              <w:t>Finding</w:t>
            </w:r>
          </w:p>
        </w:tc>
        <w:tc>
          <w:tcPr>
            <w:tcW w:type="dxa" w:w="1278"/>
          </w:tcPr>
          <w:p>
            <w:r>
              <w:t>Action</w:t>
            </w:r>
          </w:p>
        </w:tc>
      </w:tr>
      <w:tr>
        <w:tc>
          <w:tcPr>
            <w:tcW w:type="dxa" w:w="1278"/>
          </w:tcPr>
          <w:p>
            <w:r>
              <w:t>T01</w:t>
            </w:r>
          </w:p>
        </w:tc>
        <w:tc>
          <w:tcPr>
            <w:tcW w:type="dxa" w:w="1278"/>
          </w:tcPr>
          <w:p>
            <w:r>
              <w:t>Power BI KPIs</w:t>
            </w:r>
          </w:p>
        </w:tc>
        <w:tc>
          <w:tcPr>
            <w:tcW w:type="dxa" w:w="1278"/>
          </w:tcPr>
          <w:p>
            <w:r>
              <w:t>Confirm KPI operation</w:t>
            </w:r>
          </w:p>
        </w:tc>
        <w:tc>
          <w:tcPr>
            <w:tcW w:type="dxa" w:w="1278"/>
          </w:tcPr>
          <w:p>
            <w:r>
              <w:t>KPIs display correctly</w:t>
            </w:r>
          </w:p>
        </w:tc>
        <w:tc>
          <w:tcPr>
            <w:tcW w:type="dxa" w:w="1278"/>
          </w:tcPr>
          <w:p>
            <w:r>
              <w:t>KPIs worked correctly</w:t>
            </w:r>
          </w:p>
        </w:tc>
        <w:tc>
          <w:tcPr>
            <w:tcW w:type="dxa" w:w="1278"/>
          </w:tcPr>
          <w:p>
            <w:r>
              <w:t>Pass</w:t>
            </w:r>
          </w:p>
        </w:tc>
        <w:tc>
          <w:tcPr>
            <w:tcW w:type="dxa" w:w="1278"/>
          </w:tcPr>
          <w:p>
            <w:r>
              <w:t>No issue identified</w:t>
            </w:r>
          </w:p>
        </w:tc>
        <w:tc>
          <w:tcPr>
            <w:tcW w:type="dxa" w:w="1278"/>
          </w:tcPr>
          <w:p>
            <w:r>
              <w:t>No change</w:t>
            </w:r>
          </w:p>
        </w:tc>
      </w:tr>
      <w:tr>
        <w:tc>
          <w:tcPr>
            <w:tcW w:type="dxa" w:w="1278"/>
          </w:tcPr>
          <w:p>
            <w:r>
              <w:t>T02</w:t>
            </w:r>
          </w:p>
        </w:tc>
        <w:tc>
          <w:tcPr>
            <w:tcW w:type="dxa" w:w="1278"/>
          </w:tcPr>
          <w:p>
            <w:r>
              <w:t>Reminder status × appointment type</w:t>
            </w:r>
          </w:p>
        </w:tc>
        <w:tc>
          <w:tcPr>
            <w:tcW w:type="dxa" w:w="1278"/>
          </w:tcPr>
          <w:p>
            <w:r>
              <w:t>Test consistency across appointment types</w:t>
            </w:r>
          </w:p>
        </w:tc>
        <w:tc>
          <w:tcPr>
            <w:tcW w:type="dxa" w:w="1278"/>
          </w:tcPr>
          <w:p>
            <w:r>
              <w:t>Similar directional pattern</w:t>
            </w:r>
          </w:p>
        </w:tc>
        <w:tc>
          <w:tcPr>
            <w:tcW w:type="dxa" w:w="1278"/>
          </w:tcPr>
          <w:p>
            <w:r>
              <w:t>Pattern differed for General Consultation</w:t>
            </w:r>
          </w:p>
        </w:tc>
        <w:tc>
          <w:tcPr>
            <w:tcW w:type="dxa" w:w="1278"/>
          </w:tcPr>
          <w:p>
            <w:r>
              <w:t>Finding</w:t>
            </w:r>
          </w:p>
        </w:tc>
        <w:tc>
          <w:tcPr>
            <w:tcW w:type="dxa" w:w="1278"/>
          </w:tcPr>
          <w:p>
            <w:r>
              <w:t>Reminder relationship is not uniform</w:t>
            </w:r>
          </w:p>
        </w:tc>
        <w:tc>
          <w:tcPr>
            <w:tcW w:type="dxa" w:w="1278"/>
          </w:tcPr>
          <w:p>
            <w:r>
              <w:t>Refined interpretation</w:t>
            </w:r>
          </w:p>
        </w:tc>
      </w:tr>
      <w:tr>
        <w:tc>
          <w:tcPr>
            <w:tcW w:type="dxa" w:w="1278"/>
          </w:tcPr>
          <w:p>
            <w:r>
              <w:t>T03</w:t>
            </w:r>
          </w:p>
        </w:tc>
        <w:tc>
          <w:tcPr>
            <w:tcW w:type="dxa" w:w="1278"/>
          </w:tcPr>
          <w:p>
            <w:r>
              <w:t>Appointment type × previous no-show history</w:t>
            </w:r>
          </w:p>
        </w:tc>
        <w:tc>
          <w:tcPr>
            <w:tcW w:type="dxa" w:w="1278"/>
          </w:tcPr>
          <w:p>
            <w:r>
              <w:t>Test stability of previous no-show finding</w:t>
            </w:r>
          </w:p>
        </w:tc>
        <w:tc>
          <w:tcPr>
            <w:tcW w:type="dxa" w:w="1278"/>
          </w:tcPr>
          <w:p>
            <w:r>
              <w:t>Higher history remains associated with higher no-show</w:t>
            </w:r>
          </w:p>
        </w:tc>
        <w:tc>
          <w:tcPr>
            <w:tcW w:type="dxa" w:w="1278"/>
          </w:tcPr>
          <w:p>
            <w:r>
              <w:t>Pattern observed across all four types</w:t>
            </w:r>
          </w:p>
        </w:tc>
        <w:tc>
          <w:tcPr>
            <w:tcW w:type="dxa" w:w="1278"/>
          </w:tcPr>
          <w:p>
            <w:r>
              <w:t>Pass</w:t>
            </w:r>
          </w:p>
        </w:tc>
        <w:tc>
          <w:tcPr>
            <w:tcW w:type="dxa" w:w="1278"/>
          </w:tcPr>
          <w:p>
            <w:r>
              <w:t>No issue identified</w:t>
            </w:r>
          </w:p>
        </w:tc>
        <w:tc>
          <w:tcPr>
            <w:tcW w:type="dxa" w:w="1278"/>
          </w:tcPr>
          <w:p>
            <w:r>
              <w:t>Retain finding</w:t>
            </w:r>
          </w:p>
        </w:tc>
      </w:tr>
    </w:tbl>
    <w:p>
      <w:pPr>
        <w:pStyle w:val="Heading1"/>
      </w:pPr>
      <w:r>
        <w:t>6. Week 7 Findings</w:t>
      </w:r>
    </w:p>
    <w:p>
      <w:pPr>
        <w:pStyle w:val="Heading2"/>
      </w:pPr>
      <w:r>
        <w:t>Finding 1 — Previous no-show history remains a stable segmentation signal</w:t>
      </w:r>
    </w:p>
    <w:p>
      <w:r>
        <w:t>The relationship between previous no-show history and current no-show rate remained visible across Diagnostic Test, Specialist Consultation, Follow-up and General Consultation. This supports retaining previous no-show history as an important analytical segmentation variable.</w:t>
      </w:r>
    </w:p>
    <w:p>
      <w:pPr>
        <w:pStyle w:val="Heading2"/>
      </w:pPr>
      <w:r>
        <w:t>Finding 2 — Reminder status does not show one uniform pattern across appointment types</w:t>
      </w:r>
    </w:p>
    <w:p>
      <w:r>
        <w:t>The overall Week 6 reminder association does not remain identical within every appointment type. This means reminder status should be interpreted with appointment context rather than as a universal relationship.</w:t>
      </w:r>
    </w:p>
    <w:p>
      <w:pPr>
        <w:pStyle w:val="Heading1"/>
      </w:pPr>
      <w:r>
        <w:t>7. Refinement Made in Week 7</w:t>
      </w:r>
    </w:p>
    <w:p>
      <w:r>
        <w:t>The main analytical refinement is the interpretation of reminder status. The Week 7 test shows that the observed reminder relationship varies by appointment type. The narrative should therefore describe reminder status as a contextual operational signal rather than a uniform pattern across all appointment categories.</w:t>
      </w:r>
    </w:p>
    <w:p>
      <w:r>
        <w:t>No refinement was required for the previous no-show finding because the observed pattern remained consistent across appointment types.</w:t>
      </w:r>
    </w:p>
    <w:p>
      <w:pPr>
        <w:pStyle w:val="Heading1"/>
      </w:pPr>
      <w:r>
        <w:t>8. Cross-Track Validation</w:t>
      </w:r>
    </w:p>
    <w:p>
      <w:r>
        <w:t>The Week 7 assignment requires at least one meaningful cross-track testing or validation activity. The relevant planned connection for Data Analytics is Data Analytics → Data Science because analytical findings can influence model features, modelling decisions or interpretation.</w:t>
      </w:r>
    </w:p>
    <w:p>
      <w:r>
        <w:t>Current status: The Data Analytics tests documented in this report have been completed. The cross-track validation evidence still needs to be added after the Data Science testing/validation interaction is completed.</w:t>
      </w:r>
    </w:p>
    <w:p>
      <w:r>
        <w:t>A meeting or discussion alone should not be recorded as cross-track validation. The final evidence should document the component tested, expected result, actual result, finding, action, retest result, what changed and the contribution to the HealthConnect solution.</w:t>
      </w:r>
    </w:p>
    <w:p>
      <w:pPr>
        <w:pStyle w:val="Heading1"/>
      </w:pPr>
      <w:r>
        <w:t>9. Limitations</w:t>
      </w:r>
    </w:p>
    <w:p>
      <w:pPr>
        <w:pStyle w:val="ListBullet"/>
      </w:pPr>
      <w:r>
        <w:t>The dataset is synthetic, so findings are project insights rather than real clinical evidence.</w:t>
      </w:r>
    </w:p>
    <w:p>
      <w:pPr>
        <w:pStyle w:val="ListBullet"/>
      </w:pPr>
      <w:r>
        <w:t>The analysis is observational; associations do not establish causation.</w:t>
      </w:r>
    </w:p>
    <w:p>
      <w:pPr>
        <w:pStyle w:val="ListBullet"/>
      </w:pPr>
      <w:r>
        <w:t>1,696 patients account for 5,000 appointments, so appointment records are not fully independent.</w:t>
      </w:r>
    </w:p>
    <w:p>
      <w:pPr>
        <w:pStyle w:val="ListBullet"/>
      </w:pPr>
      <w:r>
        <w:t>90 records have missing distance values.</w:t>
      </w:r>
    </w:p>
    <w:p>
      <w:pPr>
        <w:pStyle w:val="ListBullet"/>
      </w:pPr>
      <w:r>
        <w:t>60 records have missing waiting-time values.</w:t>
      </w:r>
    </w:p>
    <w:p>
      <w:pPr>
        <w:pStyle w:val="ListBullet"/>
      </w:pPr>
      <w:r>
        <w:t>Reminder sent does not confirm delivery or whether the patient read the reminder.</w:t>
      </w:r>
    </w:p>
    <w:p>
      <w:pPr>
        <w:pStyle w:val="ListBullet"/>
      </w:pPr>
      <w:r>
        <w:t>Transport, illness and other reasons for non-attendance are not available.</w:t>
      </w:r>
    </w:p>
    <w:p>
      <w:pPr>
        <w:pStyle w:val="ListBullet"/>
      </w:pPr>
      <w:r>
        <w:t>Higher-distance segments have relatively small sample sizes.</w:t>
      </w:r>
    </w:p>
    <w:p>
      <w:pPr>
        <w:pStyle w:val="ListBullet"/>
      </w:pPr>
      <w:r>
        <w:t>The Week 7 reminder test shows that overall reminder comparisons should be interpreted with appointment-type segmentation.</w:t>
      </w:r>
    </w:p>
    <w:p>
      <w:pPr>
        <w:pStyle w:val="Heading1"/>
      </w:pPr>
      <w:r>
        <w:t>10. Week 8 Preparation</w:t>
      </w:r>
    </w:p>
    <w:p>
      <w:pPr>
        <w:pStyle w:val="ListNumber"/>
      </w:pPr>
      <w:r>
        <w:t>Complete the required Data Analytics → Data Science cross-track validation.</w:t>
      </w:r>
    </w:p>
    <w:p>
      <w:pPr>
        <w:pStyle w:val="ListNumber"/>
      </w:pPr>
      <w:r>
        <w:t>Document the cross-track test, evidence, refinement and retest result.</w:t>
      </w:r>
    </w:p>
    <w:p>
      <w:pPr>
        <w:pStyle w:val="ListNumber"/>
      </w:pPr>
      <w:r>
        <w:t>Update the final Power BI narrative to reflect the appointment-type variation in reminder status.</w:t>
      </w:r>
    </w:p>
    <w:p>
      <w:pPr>
        <w:pStyle w:val="ListNumber"/>
      </w:pPr>
      <w:r>
        <w:t>Retain previous no-show history as a validated analytical signal.</w:t>
      </w:r>
    </w:p>
    <w:p>
      <w:pPr>
        <w:pStyle w:val="ListNumber"/>
      </w:pPr>
      <w:r>
        <w:t>Maintain the existing analytical limitations and avoid causal claims.</w:t>
      </w:r>
    </w:p>
    <w:p>
      <w:pPr>
        <w:pStyle w:val="ListNumber"/>
      </w:pPr>
      <w:r>
        <w:t>Commit the updated report, README and supporting evidence to GitHub.</w:t>
      </w:r>
    </w:p>
    <w:p>
      <w:pPr>
        <w:pStyle w:val="Heading1"/>
      </w:pPr>
      <w:r>
        <w:t>11. Conclusion</w:t>
      </w:r>
    </w:p>
    <w:p>
      <w:r>
        <w:t>Week 7 moved the Data Analytics work from Week 6 analysis into testing and validation. The Power BI KPIs were validated. Previous no-show history remained consistent across appointment types and was therefore validated as a stable observed pattern. Reminder status required refinement because its observed relationship with no-show behaviour was not consistent across all appointment types.</w:t>
      </w:r>
    </w:p>
    <w:p>
      <w:r>
        <w:t>The main Week 7 improvement is more precise interpretation rather than rebuilding the dashboard or repeating the Week 6 analysis. The remaining major requirement before Week 8 is the documented cross-track validation with Data Science.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HealthConnect Clinic Experience Lab — Week 7 Data Analytics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