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A01D9" w14:textId="59EEF461" w:rsidR="005D25DF" w:rsidRPr="005D25DF" w:rsidRDefault="005D25DF" w:rsidP="00DD1544">
      <w:pPr>
        <w:jc w:val="both"/>
        <w:rPr>
          <w:b/>
          <w:bCs/>
        </w:rPr>
      </w:pPr>
      <w:r w:rsidRPr="005D25DF">
        <w:rPr>
          <w:b/>
          <w:bCs/>
        </w:rPr>
        <w:t>Business Insights and Recommendations Report.</w:t>
      </w:r>
    </w:p>
    <w:p w14:paraId="3DA0059B" w14:textId="77777777" w:rsidR="005D25DF" w:rsidRDefault="005D25DF" w:rsidP="00DD1544">
      <w:pPr>
        <w:jc w:val="both"/>
      </w:pPr>
    </w:p>
    <w:p w14:paraId="05210EAD" w14:textId="7885BC91" w:rsidR="00DD1544" w:rsidRDefault="00DD1544" w:rsidP="00DD1544">
      <w:pPr>
        <w:jc w:val="both"/>
      </w:pPr>
      <w:r>
        <w:t>Insight 1</w:t>
      </w:r>
    </w:p>
    <w:p w14:paraId="15D7AC8F" w14:textId="46D8AA36" w:rsidR="00DD1544" w:rsidRDefault="00DD1544" w:rsidP="00DD1544">
      <w:pPr>
        <w:jc w:val="both"/>
      </w:pPr>
      <w:r>
        <w:t>Technology generates the strongest profitability, producing approximately $145.5K profit from</w:t>
      </w:r>
      <w:r>
        <w:t xml:space="preserve"> </w:t>
      </w:r>
      <w:r>
        <w:t>$836.2K sales and an overall margin of about 17.4%.</w:t>
      </w:r>
    </w:p>
    <w:p w14:paraId="0E039CC1" w14:textId="77777777" w:rsidR="00DD1544" w:rsidRDefault="00DD1544" w:rsidP="00DD1544">
      <w:pPr>
        <w:jc w:val="both"/>
      </w:pPr>
      <w:r>
        <w:t>Insight 2</w:t>
      </w:r>
    </w:p>
    <w:p w14:paraId="36BDE771" w14:textId="798F7C21" w:rsidR="00DD1544" w:rsidRDefault="00DD1544" w:rsidP="00DD1544">
      <w:pPr>
        <w:jc w:val="both"/>
      </w:pPr>
      <w:r>
        <w:t>Furniture generates approximately $742K in sales but only $18.5K profit, resulting in a margin of</w:t>
      </w:r>
      <w:r>
        <w:t xml:space="preserve"> </w:t>
      </w:r>
      <w:r>
        <w:t>approximately 2.5%. Tables and Bookcases are major contributors to the profitability problem.</w:t>
      </w:r>
    </w:p>
    <w:p w14:paraId="2E64A4E8" w14:textId="77777777" w:rsidR="00DD1544" w:rsidRDefault="00DD1544" w:rsidP="00DD1544">
      <w:pPr>
        <w:jc w:val="both"/>
      </w:pPr>
      <w:r>
        <w:t>Insight 3</w:t>
      </w:r>
    </w:p>
    <w:p w14:paraId="1FCE64C2" w14:textId="7D916854" w:rsidR="00DD1544" w:rsidRDefault="00DD1544" w:rsidP="00DD1544">
      <w:pPr>
        <w:jc w:val="both"/>
      </w:pPr>
      <w:r>
        <w:t>Profitability deteriorates significantly as discounts increase. Aggregate profit margins become</w:t>
      </w:r>
      <w:r>
        <w:t xml:space="preserve"> </w:t>
      </w:r>
      <w:r>
        <w:t>negative at the 21–30% discount band and remain negative across higher discount bands.</w:t>
      </w:r>
    </w:p>
    <w:p w14:paraId="4BFC3680" w14:textId="77777777" w:rsidR="00DD1544" w:rsidRDefault="00DD1544" w:rsidP="00DD1544">
      <w:pPr>
        <w:jc w:val="both"/>
      </w:pPr>
      <w:r>
        <w:t>Insight 4</w:t>
      </w:r>
    </w:p>
    <w:p w14:paraId="5DC5A9CB" w14:textId="66B09F8A" w:rsidR="00DD1544" w:rsidRDefault="00DD1544" w:rsidP="00DD1544">
      <w:pPr>
        <w:jc w:val="both"/>
      </w:pPr>
      <w:r w:rsidRPr="00DD1544">
        <w:t>Sales grew substantially in 2016 and 2017, while profit also increased. However, 2017 profit growth of approximately 14.2% lagged sales growth of approximately 20.4%, suggesting some pressure on profitability.</w:t>
      </w:r>
      <w:r>
        <w:t>14.9% in the West. Central also records the highest average discount level.</w:t>
      </w:r>
    </w:p>
    <w:p w14:paraId="030FBAA0" w14:textId="77777777" w:rsidR="00DD1544" w:rsidRDefault="00DD1544" w:rsidP="00DD1544">
      <w:pPr>
        <w:jc w:val="both"/>
      </w:pPr>
      <w:r>
        <w:t>Insight 5</w:t>
      </w:r>
    </w:p>
    <w:p w14:paraId="16BE5BD2" w14:textId="48CFE8D6" w:rsidR="006A4C2A" w:rsidRDefault="00DD1544" w:rsidP="00DD1544">
      <w:pPr>
        <w:jc w:val="both"/>
      </w:pPr>
      <w:r>
        <w:t>Consumer accounts for approximately 50.6% of sales, making it the largest customer segment;</w:t>
      </w:r>
      <w:r>
        <w:t xml:space="preserve"> </w:t>
      </w:r>
      <w:r>
        <w:t>however, Home Office produces a higher overall profit margin.</w:t>
      </w:r>
    </w:p>
    <w:p w14:paraId="602C3036" w14:textId="77777777" w:rsidR="00DD1544" w:rsidRDefault="00DD1544" w:rsidP="00DD1544">
      <w:pPr>
        <w:jc w:val="both"/>
      </w:pPr>
    </w:p>
    <w:p w14:paraId="00F4C7EB" w14:textId="46446A98" w:rsidR="00DD1544" w:rsidRDefault="00DD1544" w:rsidP="00DD1544">
      <w:pPr>
        <w:jc w:val="both"/>
      </w:pPr>
      <w:r>
        <w:t>Recommendations</w:t>
      </w:r>
    </w:p>
    <w:p w14:paraId="062A5941" w14:textId="01F4C823" w:rsidR="00DD1544" w:rsidRDefault="00DD1544" w:rsidP="00DD1544">
      <w:pPr>
        <w:pStyle w:val="ListParagraph"/>
        <w:numPr>
          <w:ilvl w:val="0"/>
          <w:numId w:val="1"/>
        </w:numPr>
        <w:jc w:val="both"/>
      </w:pPr>
      <w:r w:rsidRPr="00DD1544">
        <w:t>Management should prioritize a profitability review of Tables and Bookcases, particularly products sold at high discount levels, because both sub-categories produce negative aggregate profit despite meaningful sales.</w:t>
      </w:r>
    </w:p>
    <w:p w14:paraId="323596E9" w14:textId="4E69B77E" w:rsidR="00DD1544" w:rsidRDefault="00DD1544" w:rsidP="00DD1544">
      <w:pPr>
        <w:pStyle w:val="ListParagraph"/>
        <w:numPr>
          <w:ilvl w:val="0"/>
          <w:numId w:val="1"/>
        </w:numPr>
        <w:jc w:val="both"/>
      </w:pPr>
      <w:r w:rsidRPr="00DD1544">
        <w:t>Management should review approval rules for discounts above 20%, as aggregate margins become negative from the 21–30% discount band onward. Discount policies should be assessed at product and region level before implementing a universal threshold.</w:t>
      </w:r>
    </w:p>
    <w:p w14:paraId="4D79E51C" w14:textId="00606308" w:rsidR="00DD1544" w:rsidRDefault="00DD1544" w:rsidP="00DD1544">
      <w:pPr>
        <w:pStyle w:val="ListParagraph"/>
        <w:numPr>
          <w:ilvl w:val="0"/>
          <w:numId w:val="1"/>
        </w:numPr>
        <w:jc w:val="both"/>
      </w:pPr>
      <w:r w:rsidRPr="00DD1544">
        <w:t>Customer performance should be evaluated using both revenue and profit rather than sales alone, because some high-revenue customers generate negative profitability.</w:t>
      </w:r>
    </w:p>
    <w:p w14:paraId="7E01D01F" w14:textId="5876FDB5" w:rsidR="00C25257" w:rsidRDefault="00DD1544" w:rsidP="00DD1544">
      <w:pPr>
        <w:pStyle w:val="ListParagraph"/>
        <w:numPr>
          <w:ilvl w:val="0"/>
          <w:numId w:val="1"/>
        </w:numPr>
        <w:jc w:val="both"/>
      </w:pPr>
      <w:r w:rsidRPr="00DD1544">
        <w:lastRenderedPageBreak/>
        <w:t>Management should monitor profit growth alongside sales growth, particularly after 2016, to ensure future revenue expansion does not occur at the expense of margin.</w:t>
      </w:r>
    </w:p>
    <w:sectPr w:rsidR="00C252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A2E1F"/>
    <w:multiLevelType w:val="hybridMultilevel"/>
    <w:tmpl w:val="18B40B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8286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544"/>
    <w:rsid w:val="0044338B"/>
    <w:rsid w:val="005D25DF"/>
    <w:rsid w:val="006A4C2A"/>
    <w:rsid w:val="007F33DD"/>
    <w:rsid w:val="00823F57"/>
    <w:rsid w:val="00926845"/>
    <w:rsid w:val="00C25257"/>
    <w:rsid w:val="00DD1544"/>
    <w:rsid w:val="00FE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87D23"/>
  <w15:chartTrackingRefBased/>
  <w15:docId w15:val="{6D27C221-4E88-435B-8529-4D313EE02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5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5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5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5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5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15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C2525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4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chidinma onyemachi</dc:creator>
  <cp:keywords/>
  <dc:description/>
  <cp:lastModifiedBy>chidinma onyemachi</cp:lastModifiedBy>
  <cp:revision>1</cp:revision>
  <dcterms:created xsi:type="dcterms:W3CDTF">2026-08-22T16:22:00Z</dcterms:created>
  <dcterms:modified xsi:type="dcterms:W3CDTF">2026-08-22T17:13:00Z</dcterms:modified>
</cp:coreProperties>
</file>