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  <w:r>
        <w:pict>
          <v:rect style="position:absolute;width:612pt;height:160.4pt;margin-top:4.3pt;margin-left:0pt">
            <v:textbox inset="0pt,0pt,0pt,0pt">
              <w:txbxContent>
                <w:tbl>
                  <w:tblPr>
                    <w:tblW w:type="dxa" w:w="12240"/>
                    <w:jc w:val="left"/>
                    <w:tblInd w:type="dxa" w:w="113"/>
                    <w:tblBorders>
                      <w:top w:val="nil"/>
                      <w:left w:val="nil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113"/>
                      <w:bottom w:type="dxa" w:w="0"/>
                      <w:right w:type="dxa" w:w="108"/>
                    </w:tblCellMar>
                  </w:tblPr>
                  <w:tblGrid>
                    <w:gridCol w:w="2955"/>
                    <w:gridCol w:w="9284"/>
                  </w:tblGrid>
                  <w:tr>
                    <w:trPr>
                      <w:trHeight w:hRule="atLeast" w:val="1379"/>
                      <w:cantSplit w:val="false"/>
                    </w:trPr>
                    <w:tc>
                      <w:tcPr>
                        <w:tcW w:type="dxa" w:w="2955"/>
                        <w:tcBorders>
                          <w:top w:val="nil"/>
                          <w:left w:val="nil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style0"/>
                          <w:framePr w:h="23" w:hAnchor="page" w:hRule="exact" w:hSpace="0" w:vAnchor="margin" w:vSpace="0" w:w="65535" w:wrap="around" w:x="0" w:y="8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  <w:drawing>
                            <wp:inline distB="0" distL="0" distR="0" distT="0">
                              <wp:extent cx="960755" cy="429895"/>
                              <wp:effectExtent b="0" l="0" r="0" t="0"/>
                              <wp:docPr descr="logo_udlap" id="0" name="Pictur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descr="logo_udlap" id="0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60755" cy="4298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style0"/>
                          <w:framePr w:h="23" w:hAnchor="page" w:hRule="exact" w:hSpace="0" w:vAnchor="margin" w:vSpace="0" w:w="65535" w:wrap="around" w:x="0" w:y="8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</w:r>
                      </w:p>
                      <w:p>
                        <w:pPr>
                          <w:pStyle w:val="style0"/>
                          <w:framePr w:h="23" w:hAnchor="page" w:hRule="exact" w:hSpace="0" w:vAnchor="margin" w:vSpace="0" w:w="65535" w:wrap="around" w:x="0" w:y="8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  <w:t xml:space="preserve">            </w:t>
                        </w:r>
                      </w:p>
                      <w:p>
                        <w:pPr>
                          <w:pStyle w:val="style0"/>
                          <w:framePr w:h="23" w:hAnchor="page" w:hRule="exact" w:hSpace="0" w:vAnchor="margin" w:vSpace="0" w:w="65535" w:wrap="around" w:x="0" w:y="8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  <w:t>EDEI</w:t>
                        </w:r>
                      </w:p>
                      <w:p>
                        <w:pPr>
                          <w:pStyle w:val="style0"/>
                          <w:framePr w:h="23" w:hAnchor="page" w:hRule="exact" w:hSpace="0" w:vAnchor="margin" w:vSpace="0" w:w="65535" w:wrap="around" w:x="0" w:y="8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bookmarkStart w:id="0" w:name="__UnoMark__56_208879501"/>
                        <w:bookmarkStart w:id="1" w:name="__UnoMark__56_208879501"/>
                        <w:bookmarkEnd w:id="1"/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</w:r>
                      </w:p>
                    </w:tc>
                    <w:tc>
                      <w:tcPr>
                        <w:tcW w:type="dxa" w:w="9284"/>
                        <w:gridSpan w:val="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  <w:vAlign w:val="center"/>
                      </w:tcPr>
                      <w:p>
                        <w:pPr>
                          <w:pStyle w:val="style0"/>
                          <w:framePr w:h="23" w:hAnchor="page" w:hRule="exact" w:hSpace="0" w:vAnchor="margin" w:vSpace="0" w:w="65535" w:wrap="around" w:x="0" w:y="8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rFonts w:ascii="Helvetica" w:hAnsi="Helvetica"/>
                            <w:b/>
                            <w:sz w:val="24"/>
                            <w:szCs w:val="24"/>
                            <w:lang w:val="es-MX"/>
                          </w:rPr>
                        </w:pPr>
                        <w:bookmarkStart w:id="2" w:name="__UnoMark__57_208879501"/>
                        <w:bookmarkEnd w:id="2"/>
                        <w:r>
                          <w:rPr>
                            <w:rFonts w:ascii="Helvetica" w:hAnsi="Helvetica"/>
                            <w:b/>
                            <w:sz w:val="24"/>
                            <w:szCs w:val="24"/>
                            <w:lang w:val="es-MX"/>
                          </w:rPr>
                          <w:t>Recuperación de Información</w:t>
                        </w:r>
                      </w:p>
                      <w:p>
                        <w:pPr>
                          <w:pStyle w:val="style0"/>
                          <w:framePr w:h="23" w:hAnchor="page" w:hRule="exact" w:hSpace="0" w:vAnchor="margin" w:vSpace="0" w:w="65535" w:wrap="around" w:x="0" w:y="8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rFonts w:ascii="Helvetica" w:hAnsi="Helvetica"/>
                            <w:b/>
                            <w:sz w:val="24"/>
                            <w:szCs w:val="24"/>
                            <w:lang w:val="es-MX"/>
                          </w:rPr>
                        </w:pPr>
                        <w:bookmarkStart w:id="3" w:name="__UnoMark__58_208879501"/>
                        <w:bookmarkEnd w:id="3"/>
                        <w:r>
                          <w:rPr>
                            <w:rFonts w:ascii="Helvetica" w:hAnsi="Helvetica"/>
                            <w:b/>
                            <w:sz w:val="24"/>
                            <w:szCs w:val="24"/>
                            <w:lang w:val="es-MX"/>
                          </w:rPr>
                          <w:t>Trabajo Práctico III</w:t>
                        </w:r>
                      </w:p>
                    </w:tc>
                  </w:tr>
                  <w:tr>
                    <w:trPr>
                      <w:trHeight w:hRule="atLeast" w:val="534"/>
                      <w:cantSplit w:val="false"/>
                    </w:trPr>
                    <w:tc>
                      <w:tcPr>
                        <w:tcW w:type="dxa" w:w="2955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  <w:vAlign w:val="center"/>
                      </w:tcPr>
                      <w:p>
                        <w:pPr>
                          <w:pStyle w:val="style0"/>
                          <w:framePr w:h="23" w:hAnchor="page" w:hRule="exact" w:hSpace="0" w:vAnchor="margin" w:vSpace="0" w:w="65535" w:wrap="around" w:x="0" w:y="8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bookmarkStart w:id="4" w:name="__UnoMark__59_208879501"/>
                        <w:bookmarkStart w:id="5" w:name="__UnoMark__60_208879501"/>
                        <w:bookmarkEnd w:id="4"/>
                        <w:bookmarkEnd w:id="5"/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  <w:t>DEPARTAMENTO</w:t>
                        </w:r>
                      </w:p>
                    </w:tc>
                    <w:tc>
                      <w:tcPr>
                        <w:tcW w:type="dxa" w:w="35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  <w:vAlign w:val="center"/>
                      </w:tcPr>
                      <w:p>
                        <w:pPr>
                          <w:pStyle w:val="style0"/>
                          <w:framePr w:h="23" w:hAnchor="page" w:hRule="exact" w:hSpace="0" w:vAnchor="margin" w:vSpace="0" w:w="65535" w:wrap="around" w:x="0" w:y="8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rFonts w:ascii="Helvetica" w:hAnsi="Helvetica"/>
                            <w:u w:val="single"/>
                            <w:lang w:val="es-MX"/>
                          </w:rPr>
                        </w:pPr>
                        <w:bookmarkStart w:id="6" w:name="__UnoMark__61_208879501"/>
                        <w:bookmarkStart w:id="7" w:name="__UnoMark__62_208879501"/>
                        <w:bookmarkEnd w:id="6"/>
                        <w:bookmarkEnd w:id="7"/>
                        <w:r>
                          <w:rPr>
                            <w:rFonts w:ascii="Helvetica" w:hAnsi="Helvetica"/>
                            <w:u w:val="single"/>
                            <w:lang w:val="es-MX"/>
                          </w:rPr>
                          <w:t>Computación, Electrónica y Mecatrónica</w:t>
                        </w:r>
                      </w:p>
                    </w:tc>
                    <w:tc>
                      <w:tcPr>
                        <w:tcW w:type="dxa" w:w="178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  <w:vAlign w:val="center"/>
                      </w:tcPr>
                      <w:p>
                        <w:pPr>
                          <w:pStyle w:val="style0"/>
                          <w:framePr w:h="23" w:hAnchor="page" w:hRule="exact" w:hSpace="0" w:vAnchor="margin" w:vSpace="0" w:w="65535" w:wrap="around" w:x="0" w:y="8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bookmarkStart w:id="8" w:name="__UnoMark__63_208879501"/>
                        <w:bookmarkStart w:id="9" w:name="__UnoMark__64_208879501"/>
                        <w:bookmarkEnd w:id="8"/>
                        <w:bookmarkEnd w:id="9"/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  <w:t>MATERIA</w:t>
                        </w:r>
                      </w:p>
                    </w:tc>
                    <w:tc>
                      <w:tcPr>
                        <w:tcW w:type="dxa" w:w="393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  <w:vAlign w:val="center"/>
                      </w:tcPr>
                      <w:p>
                        <w:pPr>
                          <w:pStyle w:val="style0"/>
                          <w:framePr w:h="23" w:hAnchor="page" w:hRule="exact" w:hSpace="0" w:vAnchor="margin" w:vSpace="0" w:w="65535" w:wrap="around" w:x="0" w:y="8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rFonts w:ascii="Helvetica" w:hAnsi="Helvetica"/>
                            <w:u w:val="single"/>
                            <w:lang w:val="es-MX"/>
                          </w:rPr>
                        </w:pPr>
                        <w:bookmarkStart w:id="10" w:name="__UnoMark__65_208879501"/>
                        <w:bookmarkStart w:id="11" w:name="__UnoMark__66_208879501"/>
                        <w:bookmarkEnd w:id="10"/>
                        <w:bookmarkEnd w:id="11"/>
                        <w:r>
                          <w:rPr>
                            <w:rFonts w:ascii="Helvetica" w:hAnsi="Helvetica"/>
                            <w:u w:val="single"/>
                            <w:lang w:val="es-MX"/>
                          </w:rPr>
                          <w:t>IS – 346</w:t>
                        </w:r>
                      </w:p>
                    </w:tc>
                  </w:tr>
                  <w:tr>
                    <w:trPr>
                      <w:trHeight w:hRule="atLeast" w:val="528"/>
                      <w:cantSplit w:val="false"/>
                    </w:trPr>
                    <w:tc>
                      <w:tcPr>
                        <w:tcW w:type="dxa" w:w="2955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  <w:vAlign w:val="center"/>
                      </w:tcPr>
                      <w:p>
                        <w:pPr>
                          <w:pStyle w:val="style0"/>
                          <w:framePr w:h="23" w:hAnchor="page" w:hRule="exact" w:hSpace="0" w:vAnchor="margin" w:vSpace="0" w:w="65535" w:wrap="around" w:x="0" w:y="8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bookmarkStart w:id="12" w:name="__UnoMark__67_208879501"/>
                        <w:bookmarkStart w:id="13" w:name="__UnoMark__68_208879501"/>
                        <w:bookmarkEnd w:id="12"/>
                        <w:bookmarkEnd w:id="13"/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  <w:t>PROFESOR</w:t>
                        </w:r>
                      </w:p>
                    </w:tc>
                    <w:tc>
                      <w:tcPr>
                        <w:tcW w:type="dxa" w:w="356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  <w:vAlign w:val="center"/>
                      </w:tcPr>
                      <w:p>
                        <w:pPr>
                          <w:pStyle w:val="style0"/>
                          <w:framePr w:h="23" w:hAnchor="page" w:hRule="exact" w:hSpace="0" w:vAnchor="margin" w:vSpace="0" w:w="65535" w:wrap="around" w:x="0" w:y="8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rFonts w:ascii="Helvetica" w:hAnsi="Helvetica"/>
                            <w:u w:val="single"/>
                            <w:lang w:val="es-MX"/>
                          </w:rPr>
                        </w:pPr>
                        <w:bookmarkStart w:id="14" w:name="__UnoMark__69_208879501"/>
                        <w:bookmarkStart w:id="15" w:name="__UnoMark__70_208879501"/>
                        <w:bookmarkEnd w:id="14"/>
                        <w:bookmarkEnd w:id="15"/>
                        <w:r>
                          <w:rPr>
                            <w:rFonts w:ascii="Helvetica" w:hAnsi="Helvetica"/>
                            <w:u w:val="single"/>
                            <w:lang w:val="es-MX"/>
                          </w:rPr>
                          <w:t>José Luis Zechinelli Martini</w:t>
                        </w:r>
                      </w:p>
                    </w:tc>
                    <w:tc>
                      <w:tcPr>
                        <w:tcW w:type="dxa" w:w="178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  <w:vAlign w:val="center"/>
                      </w:tcPr>
                      <w:p>
                        <w:pPr>
                          <w:pStyle w:val="style0"/>
                          <w:framePr w:h="23" w:hAnchor="page" w:hRule="exact" w:hSpace="0" w:vAnchor="margin" w:vSpace="0" w:w="65535" w:wrap="around" w:x="0" w:y="8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bookmarkStart w:id="16" w:name="__UnoMark__71_208879501"/>
                        <w:bookmarkStart w:id="17" w:name="__UnoMark__72_208879501"/>
                        <w:bookmarkEnd w:id="16"/>
                        <w:bookmarkEnd w:id="17"/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  <w:t>PERIODO</w:t>
                        </w:r>
                      </w:p>
                    </w:tc>
                    <w:tc>
                      <w:tcPr>
                        <w:tcW w:type="dxa" w:w="393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  <w:vAlign w:val="center"/>
                      </w:tcPr>
                      <w:p>
                        <w:pPr>
                          <w:pStyle w:val="style0"/>
                          <w:framePr w:h="23" w:hAnchor="page" w:hRule="exact" w:hSpace="0" w:vAnchor="margin" w:vSpace="0" w:w="65535" w:wrap="around" w:x="0" w:y="8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rFonts w:ascii="Helvetica" w:hAnsi="Helvetica"/>
                            <w:u w:val="single"/>
                            <w:lang w:val="es-MX"/>
                          </w:rPr>
                        </w:pPr>
                        <w:bookmarkStart w:id="18" w:name="__UnoMark__73_208879501"/>
                        <w:bookmarkStart w:id="19" w:name="__UnoMark__74_208879501"/>
                        <w:bookmarkEnd w:id="18"/>
                        <w:bookmarkEnd w:id="19"/>
                        <w:r>
                          <w:rPr>
                            <w:rFonts w:ascii="Helvetica" w:hAnsi="Helvetica"/>
                            <w:u w:val="single"/>
                            <w:lang w:val="es-MX"/>
                          </w:rPr>
                          <w:t>Otoño 2013</w:t>
                        </w:r>
                      </w:p>
                    </w:tc>
                  </w:tr>
                  <w:tr>
                    <w:trPr>
                      <w:trHeight w:hRule="atLeast" w:val="528"/>
                      <w:cantSplit w:val="false"/>
                    </w:trPr>
                    <w:tc>
                      <w:tcPr>
                        <w:tcW w:type="dxa" w:w="12239"/>
                        <w:gridSpan w:val="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  <w:vAlign w:val="center"/>
                      </w:tcPr>
                      <w:p>
                        <w:pPr>
                          <w:pStyle w:val="style0"/>
                          <w:framePr w:h="23" w:hAnchor="page" w:hRule="exact" w:hSpace="0" w:vAnchor="margin" w:vSpace="0" w:w="65535" w:wrap="around" w:x="0" w:y="86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>
                            <w:rFonts w:ascii="Helvetica" w:hAnsi="Helvetica"/>
                            <w:lang w:val="es-MX"/>
                          </w:rPr>
                        </w:pPr>
                        <w:bookmarkStart w:id="20" w:name="__UnoMark__75_208879501"/>
                        <w:bookmarkEnd w:id="20"/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  <w:t xml:space="preserve">INTEGRANTES: </w:t>
                        </w:r>
                        <w:r>
                          <w:rPr>
                            <w:rFonts w:ascii="Helvetica" w:hAnsi="Helvetica"/>
                            <w:lang w:val="es-MX"/>
                          </w:rPr>
                          <w:t>Rachid Cesín Gorostieta- 142768, Ulysses Lince Romero- 144088, Jorge Manuel Orozco Prado- 140398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style0"/>
        <w:rPr/>
      </w:pPr>
      <w:r>
        <w:rPr/>
      </w:r>
    </w:p>
    <w:p>
      <w:pPr>
        <w:pStyle w:val="style0"/>
        <w:jc w:val="center"/>
        <w:rPr>
          <w:rFonts w:ascii="Helvetica" w:hAnsi="Helvetica"/>
          <w:b/>
          <w:sz w:val="32"/>
        </w:rPr>
      </w:pPr>
      <w:r>
        <w:rPr>
          <w:rFonts w:ascii="Helvetica" w:hAnsi="Helvetica"/>
          <w:b/>
          <w:sz w:val="32"/>
        </w:rPr>
        <w:t>Remote Method Invocation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9"/>
        <w:numPr>
          <w:ilvl w:val="0"/>
          <w:numId w:val="1"/>
        </w:numPr>
        <w:rPr>
          <w:b/>
          <w:sz w:val="32"/>
          <w:szCs w:val="24"/>
          <w:lang w:val="es-MX"/>
        </w:rPr>
      </w:pPr>
      <w:r>
        <w:rPr>
          <w:b/>
          <w:sz w:val="32"/>
          <w:szCs w:val="24"/>
          <w:lang w:val="es-MX"/>
        </w:rPr>
        <w:t>Objetivo</w:t>
      </w:r>
    </w:p>
    <w:p>
      <w:pPr>
        <w:pStyle w:val="style0"/>
        <w:rPr/>
      </w:pPr>
      <w:r>
        <w:rPr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En esta práctica se revisó el procedimiento y las consideraciones que deben revisarse durante la construcción de una aplicación con Java RMI. Se tomó como objeto de estudio una aplicación simplificada de una casa de subastas. A continuación se explica la metodología, los aspectos técnicos de arquitectura utilizados y [blah]</w:t>
      </w:r>
    </w:p>
    <w:p>
      <w:pPr>
        <w:pStyle w:val="style29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>Introducción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Dentro de nuestro sistema de subastas, el proceso se lleva a cabo de la siguiente manera: </w:t>
      </w:r>
    </w:p>
    <w:p>
      <w:pPr>
        <w:pStyle w:val="style29"/>
        <w:numPr>
          <w:ilvl w:val="0"/>
          <w:numId w:val="2"/>
        </w:numPr>
        <w:rPr>
          <w:sz w:val="24"/>
          <w:szCs w:val="24"/>
          <w:lang w:val="es-MX"/>
        </w:rPr>
      </w:pPr>
      <w:bookmarkStart w:id="21" w:name="_GoBack"/>
      <w:bookmarkEnd w:id="21"/>
      <w:r>
        <w:rPr>
          <w:sz w:val="24"/>
          <w:szCs w:val="24"/>
          <w:lang w:val="es-MX"/>
        </w:rPr>
        <w:t xml:space="preserve">Un usuario se conecta y puede ofrecer un producto para subastar, estableciendo un precio inicial. </w:t>
      </w:r>
    </w:p>
    <w:p>
      <w:pPr>
        <w:pStyle w:val="style29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Por otra parte, el usuario puede revisar el catálogo de productos ofertados, y realizar una oferta sobre un producto seleccionado. Esta oferta se puede hacer una o varias veces, siempre y cuando su valor sea mayor al monto actual del producto. </w:t>
      </w:r>
    </w:p>
    <w:p>
      <w:pPr>
        <w:pStyle w:val="style29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Al hacer la oferta de un producto inicial, todos los clientes pueden observar la actualización del catálogo de productos.</w:t>
      </w:r>
    </w:p>
    <w:p>
      <w:pPr>
        <w:pStyle w:val="style29"/>
        <w:rPr/>
      </w:pPr>
      <w:r>
        <w:rPr/>
      </w:r>
    </w:p>
    <w:p>
      <w:pPr>
        <w:pStyle w:val="style29"/>
        <w:rPr/>
      </w:pPr>
      <w:r>
        <w:rPr/>
      </w:r>
    </w:p>
    <w:p>
      <w:pPr>
        <w:pStyle w:val="style29"/>
        <w:numPr>
          <w:ilvl w:val="0"/>
          <w:numId w:val="1"/>
        </w:numPr>
        <w:rPr>
          <w:b/>
          <w:sz w:val="32"/>
          <w:szCs w:val="24"/>
          <w:lang w:val="es-MX"/>
        </w:rPr>
      </w:pPr>
      <w:r>
        <w:rPr>
          <w:b/>
          <w:sz w:val="32"/>
          <w:szCs w:val="24"/>
          <w:lang w:val="es-MX"/>
        </w:rPr>
        <w:t>Arquitectura</w:t>
      </w:r>
    </w:p>
    <w:p>
      <w:pPr>
        <w:pStyle w:val="style29"/>
        <w:rPr>
          <w:lang w:val="es-MX"/>
        </w:rPr>
      </w:pPr>
      <w:r>
        <w:rPr>
          <w:lang w:val="es-MX"/>
        </w:rPr>
      </w:r>
    </w:p>
    <w:p>
      <w:pPr>
        <w:pStyle w:val="style29"/>
        <w:ind w:hanging="0" w:left="0" w:right="0"/>
        <w:jc w:val="both"/>
        <w:rPr>
          <w:b w:val="false"/>
          <w:bCs w:val="false"/>
          <w:sz w:val="24"/>
          <w:szCs w:val="24"/>
          <w:lang w:val="es-MX"/>
        </w:rPr>
      </w:pPr>
      <w:r>
        <w:rPr>
          <w:b w:val="false"/>
          <w:bCs w:val="false"/>
          <w:sz w:val="24"/>
          <w:szCs w:val="24"/>
          <w:lang w:val="es-MX"/>
        </w:rPr>
        <w:t xml:space="preserve">La aplicación </w:t>
      </w:r>
      <w:r>
        <w:rPr>
          <w:b w:val="false"/>
          <w:bCs w:val="false"/>
          <w:sz w:val="24"/>
          <w:szCs w:val="24"/>
          <w:lang w:val="es-MX"/>
        </w:rPr>
        <w:t xml:space="preserve">está diseñada con una arquitectura </w:t>
      </w:r>
      <w:r>
        <w:rPr>
          <w:b/>
          <w:bCs/>
          <w:sz w:val="24"/>
          <w:szCs w:val="24"/>
          <w:lang w:val="es-MX"/>
        </w:rPr>
        <w:t>cliente-servidor</w:t>
      </w:r>
      <w:r>
        <w:rPr>
          <w:b w:val="false"/>
          <w:bCs w:val="false"/>
          <w:sz w:val="24"/>
          <w:szCs w:val="24"/>
          <w:lang w:val="es-MX"/>
        </w:rPr>
        <w:t xml:space="preserve"> para implementar la distribución. Tanto las entidades cliente como servidor están localizadas en la misma máquina, y la comunicación entre ambas se da a través del </w:t>
      </w:r>
      <w:r>
        <w:rPr>
          <w:b/>
          <w:bCs/>
          <w:sz w:val="24"/>
          <w:szCs w:val="24"/>
          <w:lang w:val="es-MX"/>
        </w:rPr>
        <w:t>middleware RMI</w:t>
      </w:r>
      <w:r>
        <w:rPr>
          <w:b w:val="false"/>
          <w:bCs w:val="false"/>
          <w:sz w:val="24"/>
          <w:szCs w:val="24"/>
          <w:lang w:val="es-MX"/>
        </w:rPr>
        <w:t xml:space="preserve"> de Java. Cabe señalar que existen situaciones en la que el cliente funciona como servidor y viceversa.</w:t>
      </w:r>
    </w:p>
    <w:p>
      <w:pPr>
        <w:pStyle w:val="style29"/>
        <w:ind w:hanging="0" w:left="0" w:right="0"/>
        <w:jc w:val="both"/>
        <w:rPr>
          <w:b w:val="false"/>
          <w:bCs w:val="false"/>
          <w:sz w:val="24"/>
          <w:szCs w:val="24"/>
          <w:lang w:val="es-MX"/>
        </w:rPr>
      </w:pPr>
      <w:r>
        <w:rPr>
          <w:b w:val="false"/>
          <w:bCs w:val="false"/>
          <w:sz w:val="24"/>
          <w:szCs w:val="24"/>
          <w:lang w:val="es-MX"/>
        </w:rPr>
        <w:t xml:space="preserve">El </w:t>
      </w:r>
      <w:r>
        <w:rPr>
          <w:b/>
          <w:bCs/>
          <w:sz w:val="24"/>
          <w:szCs w:val="24"/>
          <w:lang w:val="es-MX"/>
        </w:rPr>
        <w:t>servidor</w:t>
      </w:r>
      <w:r>
        <w:rPr>
          <w:b w:val="false"/>
          <w:bCs w:val="false"/>
          <w:sz w:val="24"/>
          <w:szCs w:val="24"/>
          <w:lang w:val="es-MX"/>
        </w:rPr>
        <w:t xml:space="preserve"> está conformado por las clases</w:t>
      </w:r>
      <w:r>
        <w:rPr>
          <w:b w:val="false"/>
          <w:bCs w:val="false"/>
          <w:sz w:val="24"/>
          <w:szCs w:val="24"/>
          <w:lang w:val="es-MX"/>
        </w:rPr>
        <w:t xml:space="preserve"> Agente.java, Tienda.java; </w:t>
      </w:r>
      <w:r>
        <w:rPr>
          <w:b w:val="false"/>
          <w:bCs w:val="false"/>
          <w:sz w:val="24"/>
          <w:szCs w:val="24"/>
          <w:lang w:val="es-MX"/>
        </w:rPr>
        <w:t>el cliente está formado por la clase Cliente.java, ClienteInterface.java y un applet ClienteApplet.java.</w:t>
      </w:r>
    </w:p>
    <w:p>
      <w:pPr>
        <w:pStyle w:val="style29"/>
        <w:ind w:hanging="0" w:left="0" w:right="0"/>
        <w:jc w:val="both"/>
        <w:rPr>
          <w:b w:val="false"/>
          <w:bCs w:val="false"/>
          <w:sz w:val="24"/>
          <w:szCs w:val="24"/>
          <w:lang w:val="es-MX"/>
        </w:rPr>
      </w:pPr>
      <w:r>
        <w:rPr>
          <w:b w:val="false"/>
          <w:bCs w:val="false"/>
          <w:sz w:val="24"/>
          <w:szCs w:val="24"/>
          <w:lang w:val="es-MX"/>
        </w:rPr>
        <w:t>Del lado del servidor, Agente.java es una interfaz que extiende java.rmi.Remote, donde se declaran los métodos que los clientes pueden invocar. Tienda.java es la clase que implementa Agente.java y los métodos remotos que invocarán los clientes; además, registra su stub con el servidor de nombres para que los clientes lo puedan recuperar y crea un servant.</w:t>
      </w:r>
    </w:p>
    <w:p>
      <w:pPr>
        <w:pStyle w:val="style29"/>
        <w:ind w:hanging="0" w:left="0" w:right="0"/>
        <w:jc w:val="both"/>
        <w:rPr>
          <w:b w:val="false"/>
          <w:bCs w:val="false"/>
          <w:sz w:val="24"/>
          <w:szCs w:val="24"/>
          <w:lang w:val="es-MX"/>
        </w:rPr>
      </w:pPr>
      <w:r>
        <w:rPr>
          <w:b w:val="false"/>
          <w:bCs w:val="false"/>
          <w:sz w:val="24"/>
          <w:szCs w:val="24"/>
          <w:lang w:val="es-MX"/>
        </w:rPr>
        <w:t>D</w:t>
      </w:r>
      <w:r>
        <w:rPr>
          <w:b w:val="false"/>
          <w:bCs w:val="false"/>
          <w:sz w:val="24"/>
          <w:szCs w:val="24"/>
          <w:lang w:val="es-MX"/>
        </w:rPr>
        <w:t xml:space="preserve">el lado del </w:t>
      </w:r>
      <w:r>
        <w:rPr>
          <w:b/>
          <w:bCs/>
          <w:sz w:val="24"/>
          <w:szCs w:val="24"/>
          <w:lang w:val="es-MX"/>
        </w:rPr>
        <w:t>cliente</w:t>
      </w:r>
      <w:r>
        <w:rPr>
          <w:b w:val="false"/>
          <w:bCs w:val="false"/>
          <w:sz w:val="24"/>
          <w:szCs w:val="24"/>
          <w:lang w:val="es-MX"/>
        </w:rPr>
        <w:t>, ClienteInterface.java es una interfaz que extiende java.rmi.Remote  y declara algunos de los métodos que implementa Cliente.java, que por su parte es la clase que recupera el stub del servidor de nombres e invoca métodos del servidor para llevar a cabo sus funciones. ClienteApplet.java es un applet que sirve como front end para la comunicación con el usuario, el input y output de datos.</w:t>
      </w:r>
    </w:p>
    <w:p>
      <w:pPr>
        <w:pStyle w:val="style29"/>
        <w:ind w:hanging="0" w:left="0" w:right="0"/>
        <w:jc w:val="both"/>
        <w:rPr>
          <w:b w:val="false"/>
          <w:bCs w:val="false"/>
          <w:sz w:val="24"/>
          <w:szCs w:val="24"/>
          <w:lang w:val="es-MX"/>
        </w:rPr>
      </w:pPr>
      <w:r>
        <w:rPr>
          <w:b w:val="false"/>
          <w:bCs w:val="false"/>
          <w:sz w:val="24"/>
          <w:szCs w:val="24"/>
          <w:lang w:val="es-MX"/>
        </w:rPr>
      </w:r>
    </w:p>
    <w:p>
      <w:pPr>
        <w:pStyle w:val="style29"/>
        <w:rPr>
          <w:lang w:val="es-MX"/>
        </w:rPr>
      </w:pPr>
      <w:r>
        <w:rPr>
          <w:lang w:val="es-MX"/>
        </w:rPr>
      </w:r>
    </w:p>
    <w:p>
      <w:pPr>
        <w:pStyle w:val="style29"/>
        <w:numPr>
          <w:ilvl w:val="0"/>
          <w:numId w:val="1"/>
        </w:numPr>
        <w:rPr>
          <w:b/>
          <w:sz w:val="32"/>
          <w:szCs w:val="24"/>
          <w:lang w:val="es-MX"/>
        </w:rPr>
      </w:pPr>
      <w:r>
        <w:rPr>
          <w:b/>
          <w:sz w:val="32"/>
          <w:szCs w:val="24"/>
          <w:lang w:val="es-MX"/>
        </w:rPr>
        <w:t>Funciones</w:t>
      </w:r>
    </w:p>
    <w:p>
      <w:pPr>
        <w:pStyle w:val="style29"/>
        <w:rPr>
          <w:lang w:val="es-MX"/>
        </w:rPr>
      </w:pPr>
      <w:r>
        <w:rPr>
          <w:lang w:val="es-MX"/>
        </w:rPr>
      </w:r>
    </w:p>
    <w:p>
      <w:pPr>
        <w:pStyle w:val="style29"/>
        <w:ind w:hanging="0" w:left="0" w:right="0"/>
        <w:jc w:val="both"/>
        <w:rPr>
          <w:b w:val="false"/>
          <w:bCs w:val="false"/>
          <w:sz w:val="24"/>
          <w:szCs w:val="24"/>
          <w:lang w:val="es-MX"/>
        </w:rPr>
      </w:pPr>
      <w:r>
        <w:rPr>
          <w:b w:val="false"/>
          <w:bCs w:val="false"/>
          <w:sz w:val="24"/>
          <w:szCs w:val="24"/>
          <w:lang w:val="es-MX"/>
        </w:rPr>
        <w:t xml:space="preserve">Para llevar a cabo las funciones de la subasta, el </w:t>
      </w:r>
      <w:r>
        <w:rPr>
          <w:b/>
          <w:bCs/>
          <w:sz w:val="24"/>
          <w:szCs w:val="24"/>
          <w:lang w:val="es-MX"/>
        </w:rPr>
        <w:t>servidor</w:t>
      </w:r>
      <w:r>
        <w:rPr>
          <w:b w:val="false"/>
          <w:bCs w:val="false"/>
          <w:sz w:val="24"/>
          <w:szCs w:val="24"/>
          <w:lang w:val="es-MX"/>
        </w:rPr>
        <w:t xml:space="preserve"> se encarga de </w:t>
      </w:r>
      <w:r>
        <w:rPr>
          <w:b w:val="false"/>
          <w:bCs w:val="false"/>
          <w:sz w:val="24"/>
          <w:szCs w:val="24"/>
          <w:lang w:val="es-MX"/>
        </w:rPr>
        <w:t xml:space="preserve">mantener el catálogo de productos, usuarios y ofertas en estructuras de datos, tablas de Hash en esta implementación, así como proveer a los clientes de un conjunto de métodos para la manipulación de las mismas; por ejemplo, métodos para registrar usuarios, agregar productos a la venta, agregar ofertas y obtener el catálogo. El cliente, por su parte, interactúa con el usuario y hace las llamadas necesarias a los </w:t>
      </w:r>
      <w:r>
        <w:rPr>
          <w:b/>
          <w:bCs/>
          <w:sz w:val="24"/>
          <w:szCs w:val="24"/>
          <w:lang w:val="es-MX"/>
        </w:rPr>
        <w:t>servants</w:t>
      </w:r>
      <w:r>
        <w:rPr>
          <w:b w:val="false"/>
          <w:bCs w:val="false"/>
          <w:sz w:val="24"/>
          <w:szCs w:val="24"/>
          <w:lang w:val="es-MX"/>
        </w:rPr>
        <w:t>, para llevar a cabo las siguientes funciones:</w:t>
      </w:r>
    </w:p>
    <w:p>
      <w:pPr>
        <w:pStyle w:val="style29"/>
        <w:numPr>
          <w:ilvl w:val="0"/>
          <w:numId w:val="4"/>
        </w:numPr>
        <w:jc w:val="both"/>
        <w:rPr>
          <w:b w:val="false"/>
          <w:bCs w:val="false"/>
          <w:sz w:val="24"/>
          <w:szCs w:val="24"/>
          <w:lang w:val="es-MX"/>
        </w:rPr>
      </w:pPr>
      <w:r>
        <w:rPr>
          <w:b w:val="false"/>
          <w:bCs w:val="false"/>
          <w:sz w:val="24"/>
          <w:szCs w:val="24"/>
          <w:lang w:val="es-MX"/>
        </w:rPr>
        <w:t>Registro</w:t>
      </w:r>
    </w:p>
    <w:p>
      <w:pPr>
        <w:pStyle w:val="style29"/>
        <w:numPr>
          <w:ilvl w:val="0"/>
          <w:numId w:val="4"/>
        </w:numPr>
        <w:jc w:val="both"/>
        <w:rPr>
          <w:b w:val="false"/>
          <w:bCs w:val="false"/>
          <w:sz w:val="24"/>
          <w:szCs w:val="24"/>
          <w:lang w:val="es-MX"/>
        </w:rPr>
      </w:pPr>
      <w:r>
        <w:rPr>
          <w:b w:val="false"/>
          <w:bCs w:val="false"/>
          <w:sz w:val="24"/>
          <w:szCs w:val="24"/>
          <w:lang w:val="es-MX"/>
        </w:rPr>
        <w:t>Desconexión</w:t>
      </w:r>
    </w:p>
    <w:p>
      <w:pPr>
        <w:pStyle w:val="style29"/>
        <w:numPr>
          <w:ilvl w:val="0"/>
          <w:numId w:val="4"/>
        </w:numPr>
        <w:jc w:val="both"/>
        <w:rPr>
          <w:b w:val="false"/>
          <w:bCs w:val="false"/>
          <w:sz w:val="24"/>
          <w:szCs w:val="24"/>
          <w:lang w:val="es-MX"/>
        </w:rPr>
      </w:pPr>
      <w:r>
        <w:rPr>
          <w:b w:val="false"/>
          <w:bCs w:val="false"/>
          <w:sz w:val="24"/>
          <w:szCs w:val="24"/>
          <w:lang w:val="es-MX"/>
        </w:rPr>
        <w:t>Poner productos a la venta, especificando su nombre y precio</w:t>
      </w:r>
    </w:p>
    <w:p>
      <w:pPr>
        <w:pStyle w:val="style29"/>
        <w:numPr>
          <w:ilvl w:val="0"/>
          <w:numId w:val="4"/>
        </w:numPr>
        <w:jc w:val="both"/>
        <w:rPr>
          <w:b w:val="false"/>
          <w:bCs w:val="false"/>
          <w:sz w:val="24"/>
          <w:szCs w:val="24"/>
          <w:lang w:val="es-MX"/>
        </w:rPr>
      </w:pPr>
      <w:r>
        <w:rPr>
          <w:b w:val="false"/>
          <w:bCs w:val="false"/>
          <w:sz w:val="24"/>
          <w:szCs w:val="24"/>
          <w:lang w:val="es-MX"/>
        </w:rPr>
        <w:t>Obtener una lista del catálogo de productos a la venta</w:t>
      </w:r>
    </w:p>
    <w:p>
      <w:pPr>
        <w:pStyle w:val="style29"/>
        <w:numPr>
          <w:ilvl w:val="0"/>
          <w:numId w:val="4"/>
        </w:numPr>
        <w:jc w:val="both"/>
        <w:rPr>
          <w:b w:val="false"/>
          <w:bCs w:val="false"/>
          <w:sz w:val="24"/>
          <w:szCs w:val="24"/>
          <w:lang w:val="es-MX"/>
        </w:rPr>
      </w:pPr>
      <w:r>
        <w:rPr>
          <w:b w:val="false"/>
          <w:bCs w:val="false"/>
          <w:sz w:val="24"/>
          <w:szCs w:val="24"/>
          <w:lang w:val="es-MX"/>
        </w:rPr>
        <w:t>Hacer una oferta sobre un producto existente</w:t>
      </w:r>
    </w:p>
    <w:p>
      <w:pPr>
        <w:pStyle w:val="style29"/>
        <w:numPr>
          <w:ilvl w:val="0"/>
          <w:numId w:val="4"/>
        </w:numPr>
        <w:jc w:val="both"/>
        <w:rPr>
          <w:b w:val="false"/>
          <w:bCs w:val="false"/>
          <w:sz w:val="24"/>
          <w:szCs w:val="24"/>
          <w:lang w:val="es-MX"/>
        </w:rPr>
      </w:pPr>
      <w:r>
        <w:rPr>
          <w:b w:val="false"/>
          <w:bCs w:val="false"/>
          <w:sz w:val="24"/>
          <w:szCs w:val="24"/>
          <w:lang w:val="es-MX"/>
        </w:rPr>
        <w:t>Actualización automática de la lista de productos cuando un cliente pone un nuevo producto a la venta.</w:t>
      </w:r>
    </w:p>
    <w:p>
      <w:pPr>
        <w:pStyle w:val="style29"/>
        <w:rPr>
          <w:lang w:val="es-MX"/>
        </w:rPr>
      </w:pPr>
      <w:r>
        <w:rPr>
          <w:lang w:val="es-MX"/>
        </w:rPr>
      </w:r>
    </w:p>
    <w:p>
      <w:pPr>
        <w:pStyle w:val="style29"/>
        <w:rPr>
          <w:lang w:val="es-MX"/>
        </w:rPr>
      </w:pPr>
      <w:r>
        <w:rPr>
          <w:lang w:val="es-MX"/>
        </w:rPr>
      </w:r>
    </w:p>
    <w:p>
      <w:pPr>
        <w:pStyle w:val="style29"/>
        <w:numPr>
          <w:ilvl w:val="0"/>
          <w:numId w:val="1"/>
        </w:numPr>
        <w:rPr>
          <w:b/>
          <w:sz w:val="32"/>
          <w:szCs w:val="24"/>
          <w:lang w:val="es-MX"/>
        </w:rPr>
      </w:pPr>
      <w:r>
        <w:rPr>
          <w:b/>
          <w:sz w:val="32"/>
          <w:szCs w:val="24"/>
          <w:lang w:val="es-MX"/>
        </w:rPr>
        <w:t>Manejo de errores</w:t>
      </w:r>
    </w:p>
    <w:p>
      <w:pPr>
        <w:pStyle w:val="style29"/>
        <w:numPr>
          <w:ilvl w:val="0"/>
          <w:numId w:val="1"/>
        </w:numPr>
        <w:rPr>
          <w:b/>
          <w:sz w:val="32"/>
          <w:szCs w:val="24"/>
          <w:lang w:val="es-MX"/>
        </w:rPr>
      </w:pPr>
      <w:r>
        <w:rPr>
          <w:b/>
          <w:sz w:val="32"/>
          <w:szCs w:val="24"/>
          <w:lang w:val="es-MX"/>
        </w:rPr>
        <w:t>Conclusiones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Helvetica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lvlText w:val="-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9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color w:val="auto"/>
      <w:sz w:val="20"/>
      <w:szCs w:val="20"/>
      <w:lang w:bidi="ar-SA" w:eastAsia="es-ES" w:val="es-ES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>
      <w:rFonts w:ascii="Tahoma" w:cs="Tahoma" w:eastAsia="Times New Roman" w:hAnsi="Tahoma"/>
      <w:sz w:val="16"/>
      <w:szCs w:val="16"/>
      <w:lang w:eastAsia="es-ES" w:val="es-ES"/>
    </w:rPr>
  </w:style>
  <w:style w:styleId="style17" w:type="character">
    <w:name w:val="Internet Link"/>
    <w:basedOn w:val="style15"/>
    <w:next w:val="style17"/>
    <w:rPr>
      <w:color w:val="0000FF"/>
      <w:u w:val="single"/>
      <w:lang w:bidi="zxx-" w:eastAsia="zxx-" w:val="zxx-"/>
    </w:rPr>
  </w:style>
  <w:style w:styleId="style18" w:type="character">
    <w:name w:val="Título 1 Car"/>
    <w:basedOn w:val="style15"/>
    <w:next w:val="style18"/>
    <w:rPr>
      <w:rFonts w:ascii="Cambria" w:cs="" w:hAnsi="Cambria"/>
      <w:b/>
      <w:bCs/>
      <w:color w:val="365F91"/>
      <w:sz w:val="28"/>
      <w:szCs w:val="28"/>
      <w:lang w:eastAsia="es-ES" w:val="es-ES"/>
    </w:rPr>
  </w:style>
  <w:style w:styleId="style19" w:type="character">
    <w:name w:val="ListLabel 1"/>
    <w:next w:val="style19"/>
    <w:rPr>
      <w:rFonts w:cs="Courier New"/>
    </w:rPr>
  </w:style>
  <w:style w:styleId="style20" w:type="character">
    <w:name w:val="ListLabel 2"/>
    <w:next w:val="style20"/>
    <w:rPr>
      <w:rFonts w:cs="Times New Roman" w:eastAsia="Times New Roman"/>
    </w:rPr>
  </w:style>
  <w:style w:styleId="style21" w:type="character">
    <w:name w:val="Numbering Symbols"/>
    <w:next w:val="style21"/>
    <w:rPr/>
  </w:style>
  <w:style w:styleId="style22" w:type="character">
    <w:name w:val="Bullets"/>
    <w:next w:val="style22"/>
    <w:rPr>
      <w:rFonts w:ascii="OpenSymbol" w:cs="OpenSymbol" w:eastAsia="OpenSymbol" w:hAnsi="OpenSymbol"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"/>
    <w:basedOn w:val="style24"/>
    <w:next w:val="style25"/>
    <w:pPr/>
    <w:rPr>
      <w:rFonts w:cs="Mangal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Mangal"/>
    </w:rPr>
  </w:style>
  <w:style w:styleId="style28" w:type="paragraph">
    <w:name w:val="Balloon Text"/>
    <w:basedOn w:val="style0"/>
    <w:next w:val="style28"/>
    <w:pPr/>
    <w:rPr>
      <w:rFonts w:ascii="Tahoma" w:cs="Tahoma" w:hAnsi="Tahoma"/>
      <w:sz w:val="16"/>
      <w:szCs w:val="16"/>
    </w:rPr>
  </w:style>
  <w:style w:styleId="style29" w:type="paragraph">
    <w:name w:val="List Paragraph"/>
    <w:basedOn w:val="style0"/>
    <w:next w:val="style29"/>
    <w:pPr>
      <w:spacing w:after="0" w:before="0"/>
      <w:ind w:hanging="0" w:left="720" w:right="0"/>
      <w:contextualSpacing/>
    </w:pPr>
    <w:rPr/>
  </w:style>
  <w:style w:styleId="style30" w:type="paragraph">
    <w:name w:val="Frame Contents"/>
    <w:basedOn w:val="style0"/>
    <w:next w:val="style3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LibreOffice/4.1.1.2$Windows_x86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2013-11-01T15:46:00Z</dcterms:created>
  <dc:creator>Jorge Orozco</dc:creator>
  <cp:lastModifiedBy>Jorge Orozco</cp:lastModifiedBy>
  <dcterms:modified xsi:type="dcterms:W3CDTF">2013-11-01T17:23:00Z</dcterms:modified>
  <cp:revision>4</cp:revision>
</cp:coreProperties>
</file>