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32"/>
        </w:rPr>
        <w:t>Généralités sur les risques liés aux activités de soins</w:t>
      </w:r>
    </w:p>
    <w:p/>
    <w:p>
      <w:pPr>
        <w:pStyle w:val="Heading1"/>
        <w:jc w:val="left"/>
      </w:pPr>
      <w:r>
        <w:rPr>
          <w:color w:val="1F497D"/>
        </w:rPr>
        <w:t>1. Panorama des risques en milieu de soins</w:t>
      </w:r>
    </w:p>
    <w:p>
      <w:pPr>
        <w:spacing w:after="120"/>
        <w:jc w:val="both"/>
      </w:pPr>
      <w:r>
        <w:t>Les activités de soins constituent un environnement professionnel particulièrement exposé aux risques, tant pour les patients que pour les professionnels de santé eux-mêmes. La littérature identifie plusieurs catégories de risques dont la compréhension est indispensable à toute démarche de gestion rigoureuse.</w:t>
      </w:r>
    </w:p>
    <w:p>
      <w:pPr>
        <w:pStyle w:val="ListBullet"/>
        <w:spacing w:after="80"/>
        <w:jc w:val="both"/>
      </w:pPr>
      <w:r>
        <w:rPr>
          <w:b/>
          <w:i w:val="0"/>
          <w:sz w:val="22"/>
        </w:rPr>
        <w:t xml:space="preserve">Les risques infectieux </w:t>
      </w:r>
      <w:r>
        <w:t>occupent une place centrale dans cette problématique. Les soignants sont quotidiennement en contact avec des agents pathogènes variés — virus, bactéries, champignons — susceptibles de provoquer des infections nosocomiales ou des maladies transmissibles. Hien et al. (2013) soulignent que ces infections sont fréquemment imputables à une hygiène des mains insuffisante et à une méconnaissance des voies de transmission.</w:t>
      </w:r>
    </w:p>
    <w:p>
      <w:pPr>
        <w:pStyle w:val="ListBullet"/>
        <w:spacing w:after="80"/>
        <w:jc w:val="both"/>
      </w:pPr>
      <w:r>
        <w:rPr>
          <w:b/>
          <w:i w:val="0"/>
          <w:sz w:val="22"/>
        </w:rPr>
        <w:t xml:space="preserve">Les risques d'erreurs médicales </w:t>
      </w:r>
      <w:r>
        <w:t>représentent une autre menace majeure. Qu'il s'agisse d'erreurs de médication, de diagnostic erroné ou de défaillances dans la réalisation de procédures cliniques, leurs conséquences pour les patients peuvent être considérables (Cure et al., 2014).</w:t>
      </w:r>
    </w:p>
    <w:p>
      <w:pPr>
        <w:pStyle w:val="ListBullet"/>
        <w:spacing w:after="80"/>
        <w:jc w:val="both"/>
      </w:pPr>
      <w:r>
        <w:rPr>
          <w:b/>
          <w:i w:val="0"/>
          <w:sz w:val="22"/>
        </w:rPr>
        <w:t xml:space="preserve">Les risques chimiques </w:t>
      </w:r>
      <w:r>
        <w:t>concernent principalement l'exposition professionnelle à des substances dangereuses : médicaments cytotoxiques, désinfectants et agents de stérilisation, dont les effets sur la santé à long terme sont aujourd'hui bien documentés.</w:t>
      </w:r>
    </w:p>
    <w:p>
      <w:pPr>
        <w:pStyle w:val="ListBullet"/>
        <w:spacing w:after="80"/>
        <w:jc w:val="both"/>
      </w:pPr>
      <w:r>
        <w:rPr>
          <w:b/>
          <w:i w:val="0"/>
          <w:sz w:val="22"/>
        </w:rPr>
        <w:t xml:space="preserve">Les risques physiques </w:t>
      </w:r>
      <w:r>
        <w:t>englobent les accidents d'exposition au sang par piqûre d'aiguille, les troubles musculo-squelettiques liés aux contraintes ergonomiques, ainsi que l'exposition aux rayonnements ionisants — autant de réalités quotidiennes dans les environnements de soins.</w:t>
      </w:r>
    </w:p>
    <w:p>
      <w:pPr>
        <w:pStyle w:val="ListBullet"/>
        <w:spacing w:after="80"/>
        <w:jc w:val="both"/>
      </w:pPr>
      <w:r>
        <w:rPr>
          <w:b/>
          <w:i w:val="0"/>
          <w:sz w:val="22"/>
        </w:rPr>
        <w:t xml:space="preserve">Les risques psychosociaux </w:t>
      </w:r>
      <w:r>
        <w:t>font l'objet d'une attention croissante dans la littérature managériale en santé. Le stress chronique, le burn-out et les situations de violence au travail affectent profondément le bien-être des équipes soignantes et, par répercussion, la qualité des soins dispensés.</w:t>
      </w:r>
    </w:p>
    <w:p>
      <w:pPr>
        <w:pStyle w:val="ListBullet"/>
        <w:spacing w:after="80"/>
        <w:jc w:val="both"/>
      </w:pPr>
      <w:r>
        <w:rPr>
          <w:b/>
          <w:i w:val="0"/>
          <w:sz w:val="22"/>
        </w:rPr>
        <w:t xml:space="preserve">Les risques liés à la cybersécurité </w:t>
      </w:r>
      <w:r>
        <w:t>constituent une menace émergente, directement liée à la numérisation accélérée des systèmes de santé. La vulnérabilité des infrastructures informatiques expose les établissements à des cyberattaques pouvant compromettre la confidentialité des données patients et menacer la continuité des soins.</w:t>
      </w:r>
    </w:p>
    <w:p>
      <w:pPr>
        <w:pStyle w:val="ListBullet"/>
        <w:spacing w:after="80"/>
        <w:jc w:val="both"/>
      </w:pPr>
      <w:r>
        <w:rPr>
          <w:b/>
          <w:i w:val="0"/>
          <w:sz w:val="22"/>
        </w:rPr>
        <w:t xml:space="preserve">Les risques de responsabilité pénale </w:t>
      </w:r>
      <w:r>
        <w:t>rappellent que les professionnels de santé évoluent dans un cadre juridique contraignant, où toute négligence ou erreur médicale avérée peut engager leur responsabilité devant les juridictions compétentes.</w:t>
      </w:r>
    </w:p>
    <w:p>
      <w:pPr>
        <w:pStyle w:val="Heading1"/>
        <w:jc w:val="left"/>
      </w:pPr>
      <w:r>
        <w:rPr>
          <w:color w:val="1F497D"/>
        </w:rPr>
        <w:t>2. Approches d'identification et de contrôle des risques</w:t>
      </w:r>
    </w:p>
    <w:p>
      <w:pPr>
        <w:spacing w:after="120"/>
        <w:jc w:val="both"/>
      </w:pPr>
      <w:r>
        <w:t>La gestion des risques en santé s'articule autour de deux grandes logiques complémentaires : une approche anticipatrice, dite a priori, et une approche rétrospective, dite a posteriori. Leur articulation constitue le socle d'une politique de sécurité des soins cohérente et efficace.</w:t>
      </w:r>
    </w:p>
    <w:p>
      <w:pPr>
        <w:pStyle w:val="Heading2"/>
        <w:jc w:val="left"/>
      </w:pPr>
      <w:r>
        <w:rPr>
          <w:color w:val="1F497D"/>
        </w:rPr>
        <w:t>2.1 La démarche a priori : anticiper pour prévenir</w:t>
      </w:r>
    </w:p>
    <w:p>
      <w:pPr>
        <w:spacing w:after="120"/>
        <w:jc w:val="both"/>
      </w:pPr>
      <w:r>
        <w:t>La démarche a priori repose sur une logique participative et continue visant à identifier et évaluer les situations à risque avant qu'un incident ne survienne, dans le but de les réduire autant que possible.</w:t>
      </w:r>
    </w:p>
    <w:p>
      <w:pPr>
        <w:pStyle w:val="ListBullet"/>
        <w:spacing w:after="80"/>
        <w:jc w:val="both"/>
      </w:pPr>
      <w:r>
        <w:rPr>
          <w:b/>
          <w:i w:val="0"/>
          <w:sz w:val="22"/>
        </w:rPr>
        <w:t xml:space="preserve">La méthode AMDEC </w:t>
      </w:r>
      <w:r>
        <w:t>(Analyse des Modes de Défaillance, de leurs Effets et de leur Criticité) occupe une place de choix. Empruntée à l'industrie, elle permet d'identifier de façon structurée les défaillances potentielles d'un processus de soin, d'évaluer leur probabilité d'occurrence, leur gravité et leur détectabilité, puis de hiérarchiser les actions préventives à mettre en œuvre. Il convient de souligner que la détectabilité constitue un facteur aggravant souvent sous-estimé : un risque difficile à identifier peut s'avérer plus dangereux qu'un risque grave mais aisément repérable.</w:t>
      </w:r>
    </w:p>
    <w:p>
      <w:pPr>
        <w:pStyle w:val="ListBullet"/>
        <w:spacing w:after="80"/>
        <w:jc w:val="both"/>
      </w:pPr>
      <w:r>
        <w:rPr>
          <w:b/>
          <w:i w:val="0"/>
          <w:sz w:val="22"/>
        </w:rPr>
        <w:t xml:space="preserve">La check-list </w:t>
      </w:r>
      <w:r>
        <w:t>représente un outil complémentaire simple et efficace, qui permet de s'assurer que l'ensemble des actions préventives prédéfinies ont bien été réalisées avant, pendant ou après une activité à risque. Son utilisation systématique dans les blocs opératoires a démontré son efficacité dans la réduction des complications postopératoires.</w:t>
      </w:r>
    </w:p>
    <w:p>
      <w:pPr>
        <w:pStyle w:val="ListBullet"/>
        <w:spacing w:after="80"/>
        <w:jc w:val="both"/>
      </w:pPr>
      <w:r>
        <w:rPr>
          <w:b/>
          <w:i w:val="0"/>
          <w:sz w:val="22"/>
        </w:rPr>
        <w:t xml:space="preserve">La cartographie des risques </w:t>
      </w:r>
      <w:r>
        <w:t>constitue peut-être l'outil le plus structurant de cette démarche. Elle consiste à recenser l'ensemble des risques pesant sur une organisation, à les analyser selon leur probabilité d'occurrence et leur impact potentiel, puis à les représenter visuellement — généralement sous forme de matrice — afin d'offrir une vision synthétique et hiérarchisée. Cette représentation distingue les risques faibles, nécessitant une surveillance légère, des risques critiques exigeant une intervention prioritaire.</w:t>
      </w:r>
    </w:p>
    <w:p>
      <w:pPr>
        <w:pStyle w:val="Heading2"/>
        <w:jc w:val="left"/>
      </w:pPr>
      <w:r>
        <w:rPr>
          <w:color w:val="1F497D"/>
        </w:rPr>
        <w:t>2.2 La démarche a posteriori : apprendre de l'expérience</w:t>
      </w:r>
    </w:p>
    <w:p>
      <w:pPr>
        <w:spacing w:after="120"/>
        <w:jc w:val="both"/>
      </w:pPr>
      <w:r>
        <w:t>Si la démarche a priori vise à prévenir, la démarche a posteriori consiste à tirer des enseignements des événements qui se sont effectivement produits. Cette approche repose sur un postulat fondamental : l'erreur n'est pas une faute à sanctionner, mais une source d'information précieuse sur les vulnérabilités du système.</w:t>
      </w:r>
    </w:p>
    <w:p>
      <w:pPr>
        <w:pStyle w:val="ListBullet"/>
        <w:spacing w:after="80"/>
        <w:jc w:val="both"/>
      </w:pPr>
      <w:r>
        <w:rPr>
          <w:b/>
          <w:i w:val="0"/>
          <w:sz w:val="22"/>
        </w:rPr>
        <w:t xml:space="preserve">La Revue de Mortalité et de Morbidité (RMM) </w:t>
      </w:r>
      <w:r>
        <w:t>est l'outil emblématique de cette démarche. Collective, rétrospective et systémique, elle consiste en une analyse approfondie d'événements indésirables associés aux soins (EIAS). Comme le rappellent Saintoyant et al. (2012), les RMM permettent d'identifier les forces et les vulnérabilités des organisations de soins pour orienter des actions correctrices ciblées.</w:t>
      </w:r>
    </w:p>
    <w:p>
      <w:pPr>
        <w:pStyle w:val="ListBullet"/>
        <w:spacing w:after="80"/>
        <w:jc w:val="both"/>
      </w:pPr>
      <w:r>
        <w:rPr>
          <w:b/>
          <w:i w:val="0"/>
          <w:sz w:val="22"/>
        </w:rPr>
        <w:t xml:space="preserve">L'analyse des EIAS </w:t>
      </w:r>
      <w:r>
        <w:t>constitue un processus systématique en plusieurs étapes : reconstitution chronologique des faits, identification des causes directes et profondes, évaluation des barrières de sécurité défaillantes, et élaboration d'un plan d'action assorti d'un suivi rigoureux.</w:t>
      </w:r>
    </w:p>
    <w:p>
      <w:pPr>
        <w:pStyle w:val="ListBullet"/>
        <w:spacing w:after="80"/>
        <w:jc w:val="both"/>
      </w:pPr>
      <w:r>
        <w:rPr>
          <w:b/>
          <w:i w:val="0"/>
          <w:sz w:val="22"/>
        </w:rPr>
        <w:t xml:space="preserve">La REMED </w:t>
      </w:r>
      <w:r>
        <w:t>(Revue des Erreurs liées aux Médicaments et Dispositifs médicaux) adopte une approche multidisciplinaire pour analyser les événements indésirables liés à la médication, en identifiant les facteurs contributifs humains, organisationnels et techniques, afin de réduire le risque iatrogène (Conrard, 2012).</w:t>
      </w:r>
    </w:p>
    <w:p>
      <w:pPr>
        <w:pStyle w:val="ListBullet"/>
        <w:spacing w:after="80"/>
        <w:jc w:val="both"/>
      </w:pPr>
      <w:r>
        <w:rPr>
          <w:b/>
          <w:i w:val="0"/>
          <w:sz w:val="22"/>
        </w:rPr>
        <w:t xml:space="preserve">Le modèle RECUPERARE, </w:t>
      </w:r>
      <w:r>
        <w:t>fondé sur une approche systémique, analyse les incidents selon trois dimensions : leurs causes (techniques, humaines ou organisationnelles), leur déroulement, et les mécanismes de récupération mobilisés — qu'ils soient humains ou automatisés (De Marcellis-Warin, 2005).</w:t>
      </w:r>
    </w:p>
    <w:p>
      <w:pPr>
        <w:spacing w:after="120"/>
        <w:jc w:val="both"/>
      </w:pPr>
      <w:r>
        <w:t>Un enjeu transversal à toutes ces démarches rétrospectives est la nécessité de déconnecter la gestion collective du risque de la mise en cause individuelle. L'anonymisation des données et la création de protections juridiques spécifiques en sont les conditions préalables. L'exemple américain est à cet égard éclairant : le principe dit du no shame, no blame interdit toute poursuite pénale contre un professionnel de santé qui s'engage sincèrement dans la recherche des causes d'un incident.</w:t>
      </w:r>
    </w:p>
    <w:p>
      <w:pPr>
        <w:pStyle w:val="Heading1"/>
        <w:jc w:val="left"/>
      </w:pPr>
      <w:r>
        <w:rPr>
          <w:color w:val="1F497D"/>
        </w:rPr>
        <w:t>3. Méthodologie de l'étude</w:t>
      </w:r>
    </w:p>
    <w:p>
      <w:pPr>
        <w:pStyle w:val="ListBullet"/>
        <w:spacing w:after="80"/>
        <w:jc w:val="both"/>
      </w:pPr>
      <w:r>
        <w:rPr>
          <w:b/>
          <w:i w:val="0"/>
          <w:sz w:val="22"/>
        </w:rPr>
        <w:t xml:space="preserve">Milieu d'étude : </w:t>
      </w:r>
      <w:r>
        <w:t>Bloc opératoire central du CHUO</w:t>
      </w:r>
    </w:p>
    <w:p>
      <w:pPr>
        <w:pStyle w:val="ListBullet"/>
        <w:spacing w:after="80"/>
        <w:jc w:val="both"/>
      </w:pPr>
      <w:r>
        <w:rPr>
          <w:b/>
          <w:i w:val="0"/>
          <w:sz w:val="22"/>
        </w:rPr>
        <w:t xml:space="preserve">Population cible : </w:t>
      </w:r>
      <w:r>
        <w:t>Surveillant général du bloc opératoire central et responsable du service qualité et gestion des risques</w:t>
      </w:r>
    </w:p>
    <w:p>
      <w:pPr>
        <w:pStyle w:val="ListBullet"/>
        <w:spacing w:after="80"/>
        <w:jc w:val="both"/>
      </w:pPr>
      <w:r>
        <w:rPr>
          <w:b/>
          <w:i w:val="0"/>
          <w:sz w:val="22"/>
        </w:rPr>
        <w:t xml:space="preserve">Méthode de collecte : </w:t>
      </w:r>
      <w:r>
        <w:t>Entretien semi-directif</w:t>
      </w:r>
    </w:p>
    <w:p>
      <w:pPr>
        <w:pStyle w:val="ListBullet"/>
        <w:spacing w:after="80"/>
        <w:jc w:val="both"/>
      </w:pPr>
      <w:r>
        <w:rPr>
          <w:b/>
          <w:i w:val="0"/>
          <w:sz w:val="22"/>
        </w:rPr>
        <w:t xml:space="preserve">Outil de collecte : </w:t>
      </w:r>
      <w:r>
        <w:t>Guide d'entretien (cf. Annexe 7)</w:t>
      </w:r>
    </w:p>
    <w:p>
      <w:pPr>
        <w:pStyle w:val="Heading1"/>
        <w:jc w:val="left"/>
      </w:pPr>
      <w:r>
        <w:rPr>
          <w:color w:val="1F497D"/>
        </w:rPr>
        <w:t>4. Résultats de l'analyse de terrain</w:t>
      </w:r>
    </w:p>
    <w:p>
      <w:pPr>
        <w:pStyle w:val="Heading2"/>
        <w:jc w:val="left"/>
      </w:pPr>
      <w:r>
        <w:rPr>
          <w:color w:val="1F497D"/>
        </w:rPr>
        <w:t>4.1 Identification des risques au bloc opératoire</w:t>
      </w:r>
    </w:p>
    <w:p>
      <w:pPr>
        <w:spacing w:after="120"/>
        <w:jc w:val="both"/>
      </w:pPr>
      <w:r>
        <w:t>L'entretien mené avec le surveillant général du bloc opératoire central a mis en évidence une implication collective dans la démarche d'identification des risques. Les risques répertoriés couvrent un spectre large :</w:t>
      </w:r>
    </w:p>
    <w:p>
      <w:pPr>
        <w:pStyle w:val="ListBullet"/>
        <w:spacing w:after="80"/>
        <w:jc w:val="both"/>
      </w:pPr>
      <w:r>
        <w:t>Risques infectieux</w:t>
      </w:r>
    </w:p>
    <w:p>
      <w:pPr>
        <w:pStyle w:val="ListBullet"/>
        <w:spacing w:after="80"/>
        <w:jc w:val="both"/>
      </w:pPr>
      <w:r>
        <w:t>Risques liés aux gaz médicaux</w:t>
      </w:r>
    </w:p>
    <w:p>
      <w:pPr>
        <w:pStyle w:val="ListBullet"/>
        <w:spacing w:after="80"/>
        <w:jc w:val="both"/>
      </w:pPr>
      <w:r>
        <w:t>Risques liés à la programmation des interventions</w:t>
      </w:r>
    </w:p>
    <w:p>
      <w:pPr>
        <w:pStyle w:val="ListBullet"/>
        <w:spacing w:after="80"/>
        <w:jc w:val="both"/>
      </w:pPr>
      <w:r>
        <w:t>Mauvaise identification du site opératoire</w:t>
      </w:r>
    </w:p>
    <w:p>
      <w:pPr>
        <w:pStyle w:val="ListBullet"/>
        <w:spacing w:after="80"/>
        <w:jc w:val="both"/>
      </w:pPr>
      <w:r>
        <w:t>Risque de chute</w:t>
      </w:r>
    </w:p>
    <w:p>
      <w:pPr>
        <w:pStyle w:val="ListBullet"/>
        <w:spacing w:after="80"/>
        <w:jc w:val="both"/>
      </w:pPr>
      <w:r>
        <w:t>Risques d'incendie et d'électrocution</w:t>
      </w:r>
    </w:p>
    <w:p>
      <w:pPr>
        <w:pStyle w:val="ListBullet"/>
        <w:spacing w:after="80"/>
        <w:jc w:val="both"/>
      </w:pPr>
      <w:r>
        <w:t>Risques liés aux patients à mobilité réduite ou contraints</w:t>
      </w:r>
    </w:p>
    <w:p>
      <w:pPr>
        <w:pStyle w:val="ListBullet"/>
        <w:spacing w:after="80"/>
        <w:jc w:val="both"/>
      </w:pPr>
      <w:r>
        <w:t>Risques liés à la stérilité du matériel</w:t>
      </w:r>
    </w:p>
    <w:p>
      <w:pPr>
        <w:pStyle w:val="ListBullet"/>
        <w:spacing w:after="80"/>
        <w:jc w:val="both"/>
      </w:pPr>
      <w:r>
        <w:t>Risques de responsabilité juridique</w:t>
      </w:r>
    </w:p>
    <w:p>
      <w:pPr>
        <w:pStyle w:val="ListBullet"/>
        <w:spacing w:after="80"/>
        <w:jc w:val="both"/>
      </w:pPr>
      <w:r>
        <w:t>Retards de réveil</w:t>
      </w:r>
    </w:p>
    <w:p>
      <w:pPr>
        <w:pStyle w:val="ListBullet"/>
        <w:spacing w:after="80"/>
        <w:jc w:val="both"/>
      </w:pPr>
      <w:r>
        <w:t>Risques psychosociaux</w:t>
      </w:r>
    </w:p>
    <w:p>
      <w:pPr>
        <w:pStyle w:val="Heading2"/>
        <w:jc w:val="left"/>
      </w:pPr>
      <w:r>
        <w:rPr>
          <w:color w:val="1F497D"/>
        </w:rPr>
        <w:t>4.2 Mécanismes et outils d'identification</w:t>
      </w:r>
    </w:p>
    <w:p>
      <w:pPr>
        <w:spacing w:after="120"/>
        <w:jc w:val="both"/>
      </w:pPr>
      <w:r>
        <w:t>Les acteurs rencontrés font état de plusieurs mécanismes d'identification des risques :</w:t>
      </w:r>
    </w:p>
    <w:p>
      <w:pPr>
        <w:pStyle w:val="ListBullet"/>
        <w:spacing w:after="80"/>
        <w:jc w:val="both"/>
      </w:pPr>
      <w:r>
        <w:rPr>
          <w:b/>
          <w:i w:val="0"/>
          <w:sz w:val="22"/>
        </w:rPr>
        <w:t xml:space="preserve">Réclamations : </w:t>
      </w:r>
      <w:r>
        <w:t>registre des plaintes</w:t>
      </w:r>
    </w:p>
    <w:p>
      <w:pPr>
        <w:pStyle w:val="ListBullet"/>
        <w:spacing w:after="80"/>
        <w:jc w:val="both"/>
      </w:pPr>
      <w:r>
        <w:rPr>
          <w:b/>
          <w:i w:val="0"/>
          <w:sz w:val="22"/>
        </w:rPr>
        <w:t xml:space="preserve">Déclaration des événements indésirables : </w:t>
      </w:r>
      <w:r>
        <w:t>application informatique (en phase test)</w:t>
      </w:r>
    </w:p>
    <w:p>
      <w:pPr>
        <w:pStyle w:val="ListBullet"/>
        <w:spacing w:after="80"/>
        <w:jc w:val="both"/>
      </w:pPr>
      <w:r>
        <w:rPr>
          <w:b/>
          <w:i w:val="0"/>
          <w:sz w:val="22"/>
        </w:rPr>
        <w:t xml:space="preserve">Inspection visuelle : </w:t>
      </w:r>
      <w:r>
        <w:t>constats d'anomalie</w:t>
      </w:r>
    </w:p>
    <w:p>
      <w:pPr>
        <w:pStyle w:val="ListBullet"/>
        <w:spacing w:after="80"/>
        <w:jc w:val="both"/>
      </w:pPr>
      <w:r>
        <w:rPr>
          <w:b/>
          <w:i w:val="0"/>
          <w:sz w:val="22"/>
        </w:rPr>
        <w:t xml:space="preserve">Cartographie des risques : </w:t>
      </w:r>
      <w:r>
        <w:t>matrice de criticité</w:t>
      </w:r>
    </w:p>
    <w:p>
      <w:pPr>
        <w:pStyle w:val="ListBullet"/>
        <w:spacing w:after="80"/>
        <w:jc w:val="both"/>
      </w:pPr>
      <w:r>
        <w:rPr>
          <w:b/>
          <w:i w:val="0"/>
          <w:sz w:val="22"/>
        </w:rPr>
        <w:t xml:space="preserve">Approche processus : </w:t>
      </w:r>
      <w:r>
        <w:t>description des processus étape par étape</w:t>
      </w:r>
    </w:p>
    <w:p>
      <w:pPr>
        <w:pStyle w:val="ListBullet"/>
        <w:spacing w:after="80"/>
        <w:jc w:val="both"/>
      </w:pPr>
      <w:r>
        <w:rPr>
          <w:b/>
          <w:i w:val="0"/>
          <w:sz w:val="22"/>
        </w:rPr>
        <w:t xml:space="preserve">Surveillance des équipements : </w:t>
      </w:r>
      <w:r>
        <w:t>fiches de matériovigilance, autotests, calibrations</w:t>
      </w:r>
    </w:p>
    <w:p>
      <w:pPr>
        <w:spacing w:after="120"/>
        <w:jc w:val="both"/>
      </w:pPr>
      <w:r>
        <w:t>Il est à noter qu'une application de déclaration des événements indésirables a été déployée en phase test au moment de l'étude. Cependant, l'accès en est réservé aux infirmiers-chefs et chefs de service, ce qui en limite considérablement la portée.</w:t>
      </w:r>
    </w:p>
    <w:p>
      <w:pPr>
        <w:pStyle w:val="Heading2"/>
        <w:jc w:val="left"/>
      </w:pPr>
      <w:r>
        <w:rPr>
          <w:color w:val="1F497D"/>
        </w:rPr>
        <w:t>4.3 Priorisation des risques</w:t>
      </w:r>
    </w:p>
    <w:p>
      <w:pPr>
        <w:spacing w:after="120"/>
        <w:jc w:val="both"/>
      </w:pPr>
      <w:r>
        <w:t>L'ensemble des personnes ressources interrogées s'accordent sur deux critères principaux de priorisation : la fréquence d'occurrence et la gravité (ou criticité) du risque. La matrice de gestion des risques intègre par ailleurs la détectabilité comme troisième dimension d'évaluation.</w:t>
      </w:r>
    </w:p>
    <w:p>
      <w:pPr>
        <w:spacing w:after="120"/>
        <w:jc w:val="both"/>
      </w:pPr>
      <w:r>
        <w:t>Les risques présentant les scores de criticité les plus élevés sont :</w:t>
      </w:r>
    </w:p>
    <w:p>
      <w:pPr>
        <w:pStyle w:val="ListBullet"/>
        <w:spacing w:after="80"/>
        <w:jc w:val="both"/>
      </w:pPr>
      <w:r>
        <w:t>Non-respect des procédures de pré-désinfection et stérilisation du matériel (score : 80)</w:t>
      </w:r>
    </w:p>
    <w:p>
      <w:pPr>
        <w:pStyle w:val="ListBullet"/>
        <w:spacing w:after="80"/>
        <w:jc w:val="both"/>
      </w:pPr>
      <w:r>
        <w:t>Non-respect de la préparation cutanée préopératoire (score : 60)</w:t>
      </w:r>
    </w:p>
    <w:p>
      <w:pPr>
        <w:pStyle w:val="ListBullet"/>
        <w:spacing w:after="80"/>
        <w:jc w:val="both"/>
      </w:pPr>
      <w:r>
        <w:t>Non-respect des protocoles de préparation du patient (score : 60)</w:t>
      </w:r>
    </w:p>
    <w:p>
      <w:pPr>
        <w:pStyle w:val="ListBullet"/>
        <w:spacing w:after="80"/>
        <w:jc w:val="both"/>
      </w:pPr>
      <w:r>
        <w:t>Absence de protocoles formalisés (score : 60)</w:t>
      </w:r>
    </w:p>
    <w:p>
      <w:pPr>
        <w:pStyle w:val="ListBullet"/>
        <w:spacing w:after="80"/>
        <w:jc w:val="both"/>
      </w:pPr>
      <w:r>
        <w:t>Absence ou non-respect du circuit du matériel (score : 60)</w:t>
      </w:r>
    </w:p>
    <w:p>
      <w:pPr>
        <w:pStyle w:val="ListBullet"/>
        <w:spacing w:after="80"/>
        <w:jc w:val="both"/>
      </w:pPr>
      <w:r>
        <w:t>Non-respect des bonnes pratiques d'hygiène et de circulation (score : 60)</w:t>
      </w:r>
    </w:p>
    <w:p>
      <w:pPr>
        <w:pStyle w:val="ListBullet"/>
        <w:spacing w:after="80"/>
        <w:jc w:val="both"/>
      </w:pPr>
      <w:r>
        <w:t>Allées et venues fréquentes au bloc (score : 60)</w:t>
      </w:r>
    </w:p>
    <w:p>
      <w:pPr>
        <w:spacing w:after="120"/>
        <w:jc w:val="both"/>
      </w:pPr>
      <w:r>
        <w:t>Le surveillant général place en tête des priorités les pannes d'équipements biomédicaux, en raison de leur impact direct et immédiat sur l'activité opératoire.</w:t>
      </w:r>
    </w:p>
    <w:p>
      <w:pPr>
        <w:pStyle w:val="Heading2"/>
        <w:jc w:val="left"/>
      </w:pPr>
      <w:r>
        <w:rPr>
          <w:color w:val="1F497D"/>
        </w:rPr>
        <w:t>4.4 Mécanismes de contrôle des risques</w:t>
      </w:r>
    </w:p>
    <w:p>
      <w:pPr>
        <w:spacing w:after="120"/>
        <w:jc w:val="both"/>
      </w:pPr>
      <w:r>
        <w:t>Les risques identifiés sont maîtrisés à travers des actions à la fois systématiques et ciblées.</w:t>
      </w:r>
    </w:p>
    <w:p>
      <w:r>
        <w:rPr>
          <w:b/>
          <w:i w:val="0"/>
          <w:sz w:val="22"/>
        </w:rPr>
        <w:t>Actions systématiques :</w:t>
      </w:r>
    </w:p>
    <w:p>
      <w:pPr>
        <w:pStyle w:val="ListBullet"/>
        <w:spacing w:after="80"/>
        <w:jc w:val="both"/>
      </w:pPr>
      <w:r>
        <w:t>Maintenance préventive des équipements biomédicaux (équipe interne et prestataires externes)</w:t>
      </w:r>
    </w:p>
    <w:p>
      <w:pPr>
        <w:pStyle w:val="ListBullet"/>
        <w:spacing w:after="80"/>
        <w:jc w:val="both"/>
      </w:pPr>
      <w:r>
        <w:t>Application des précautions standard et complémentaires</w:t>
      </w:r>
    </w:p>
    <w:p>
      <w:pPr>
        <w:pStyle w:val="ListBullet"/>
        <w:spacing w:after="80"/>
        <w:jc w:val="both"/>
      </w:pPr>
      <w:r>
        <w:t>Respect des bonnes pratiques d'hygiène du bloc opératoire</w:t>
      </w:r>
    </w:p>
    <w:p>
      <w:pPr>
        <w:pStyle w:val="ListBullet"/>
        <w:spacing w:after="80"/>
        <w:jc w:val="both"/>
      </w:pPr>
      <w:r>
        <w:t>Changement périodique des filtres</w:t>
      </w:r>
    </w:p>
    <w:p>
      <w:pPr>
        <w:pStyle w:val="ListBullet"/>
        <w:spacing w:after="80"/>
        <w:jc w:val="both"/>
      </w:pPr>
      <w:r>
        <w:t>Peinture antimicrobienne</w:t>
      </w:r>
    </w:p>
    <w:p>
      <w:r>
        <w:rPr>
          <w:b/>
          <w:i w:val="0"/>
          <w:sz w:val="22"/>
        </w:rPr>
        <w:t>Actions ciblées :</w:t>
      </w:r>
    </w:p>
    <w:p>
      <w:pPr>
        <w:pStyle w:val="ListBullet"/>
        <w:spacing w:after="80"/>
        <w:jc w:val="both"/>
      </w:pPr>
      <w:r>
        <w:t>Check-list préopératoire (en cours de déploiement)</w:t>
      </w:r>
    </w:p>
    <w:p>
      <w:pPr>
        <w:pStyle w:val="ListBullet"/>
        <w:spacing w:after="80"/>
        <w:jc w:val="both"/>
      </w:pPr>
      <w:r>
        <w:t>Élaboration et diffusion de procédures spécifiques</w:t>
      </w:r>
    </w:p>
    <w:p>
      <w:pPr>
        <w:pStyle w:val="ListBullet"/>
        <w:spacing w:after="80"/>
        <w:jc w:val="both"/>
      </w:pPr>
      <w:r>
        <w:t>Interventions correctives sur des risques identifiés</w:t>
      </w:r>
    </w:p>
    <w:p>
      <w:pPr>
        <w:spacing w:after="120"/>
        <w:jc w:val="both"/>
      </w:pPr>
      <w:r>
        <w:t>Le surveillant général a par ailleurs signalé plusieurs freins structurels : une prolifération d'outils de traçabilité peu coordonnés, un registre des comptes rendus non informatisé, et un déficit de sensibilisation du personnel aux implications légales de leur activité.</w:t>
      </w:r>
    </w:p>
    <w:p>
      <w:pPr>
        <w:pStyle w:val="Heading1"/>
        <w:jc w:val="left"/>
      </w:pPr>
      <w:r>
        <w:rPr>
          <w:color w:val="1F497D"/>
        </w:rPr>
        <w:t>5. Remarques et recommandations</w:t>
      </w:r>
    </w:p>
    <w:p>
      <w:pPr>
        <w:spacing w:after="120"/>
        <w:jc w:val="both"/>
      </w:pPr>
      <w:r>
        <w:t>L'analyse du terrain fait apparaître une tension caractéristique entre réactivité et anticipation. Si les mécanismes d'identification des risques sont relativement diversifiés, la plupart demeurent réactifs — se déclenchant après la survenue d'un incident — là où les démarches proactives, telles que la cartographie des risques ou l'approche processus, restent insuffisamment développées et formalisées.</w:t>
      </w:r>
    </w:p>
    <w:p>
      <w:pPr>
        <w:spacing w:after="120"/>
        <w:jc w:val="both"/>
      </w:pPr>
      <w:r>
        <w:t>À ce jour, seule une cartographie partielle et non validée a été réalisée pour le bloc opératoire et le laboratoire. Une extension à l'ensemble de l'établissement s'impose, idéalement conduite selon la méthode AMDEC qui, par l'intégration de la détectabilité comme facteur d'évaluation, offre une finesse d'analyse supérieure aux approches plus classiques.</w:t>
      </w:r>
    </w:p>
    <w:p>
      <w:pPr>
        <w:spacing w:after="120"/>
        <w:jc w:val="both"/>
      </w:pPr>
      <w:r>
        <w:t>La généralisation des check-lists pour toutes les activités critiques est également fortement recommandée, de même que l'adoption systématique de l'approche processus, dont la mise en œuvre requiert cependant la formation de personnel dédié, affecté au sein des services de soins et du service qualité.</w:t>
      </w:r>
    </w:p>
    <w:p>
      <w:pPr>
        <w:spacing w:after="120"/>
        <w:jc w:val="both"/>
      </w:pPr>
      <w:r>
        <w:t>Sur le versant a posteriori, la mise en place de revues de morbidité et de mortalité au sein des services est une priorité. Leur développement suppose une évolution culturelle profonde : les erreurs doivent cesser d'être perçues comme des fautes individuelles pour être abordées comme des signaux d'alerte systémiques. À l'instar du modèle américain du no shame, no blame, il conviendrait d'encourager le signalement en garantissant la protection des déclarants et l'anonymisation des données.</w:t>
      </w:r>
    </w:p>
    <w:p>
      <w:pPr>
        <w:spacing w:after="120"/>
        <w:jc w:val="both"/>
      </w:pPr>
      <w:r>
        <w:t>La mise en place d'outils complémentaires tels que la REMED et la méthode RECUPERARE permettrait de structurer davantage l'analyse chronologique et causale des incidents médicamenteux et organisationnels.</w:t>
      </w:r>
    </w:p>
    <w:p>
      <w:pPr>
        <w:spacing w:after="120"/>
        <w:jc w:val="both"/>
      </w:pPr>
      <w:r>
        <w:t>Concernant la déclaration des événements indésirables, l'outil numérique actuellement en test mérite d'être élargi à l'ensemble du personnel soignant, et non restreint aux seuls responsables hiérarchiques. Cette restriction compromet à la fois l'anonymat — condition sine qua non de la confiance — et l'exhaustivité des déclarations.</w:t>
      </w:r>
    </w:p>
    <w:p>
      <w:pPr>
        <w:spacing w:after="120"/>
        <w:jc w:val="both"/>
      </w:pPr>
      <w:r>
        <w:t>En définitive, la gestion des risques ne saurait se réduire à une série d'outils techniques. Elle suppose l'émergence d'une véritable culture de la sécurité des soins, portée par l'ensemble des acteurs de l'organisation, formalisée dans des procédures claires, et animée par un engagement institutionnel fort en faveur de l'amélioration continue.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