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4EEDA" w14:textId="0457E7F9" w:rsidR="00B01A78" w:rsidRPr="00B01A78" w:rsidRDefault="00D6267C" w:rsidP="00B01A78">
      <w:pPr>
        <w:pStyle w:val="Heading1"/>
      </w:pPr>
      <w:r>
        <w:t>Cookie Cats A/B Testing Recommendation</w:t>
      </w:r>
    </w:p>
    <w:p w14:paraId="66E20304" w14:textId="34F120DC" w:rsidR="00B01A78" w:rsidRPr="00B01A78" w:rsidRDefault="00B01A78" w:rsidP="00B01A78">
      <w:pPr>
        <w:rPr>
          <w:sz w:val="22"/>
          <w:szCs w:val="22"/>
        </w:rPr>
      </w:pPr>
      <w:r>
        <w:rPr>
          <w:rStyle w:val="Heading3Char"/>
        </w:rPr>
        <w:t>Recommendation:</w:t>
      </w:r>
      <w:r>
        <w:t xml:space="preserve"> </w:t>
      </w:r>
      <w:r>
        <w:rPr>
          <w:sz w:val="22"/>
          <w:szCs w:val="22"/>
        </w:rPr>
        <w:t>Keep the first gate at 30 and do not ship gate_40</w:t>
      </w:r>
    </w:p>
    <w:p w14:paraId="4FD7A3FC" w14:textId="3B0B63E1" w:rsidR="00B01A78" w:rsidRPr="002E7278" w:rsidRDefault="00B01A78" w:rsidP="00B01A78">
      <w:pPr>
        <w:rPr>
          <w:sz w:val="22"/>
          <w:szCs w:val="22"/>
        </w:rPr>
      </w:pPr>
      <w:r>
        <w:rPr>
          <w:rStyle w:val="Heading3Char"/>
        </w:rPr>
        <w:t>Why:</w:t>
      </w:r>
      <w:r>
        <w:t xml:space="preserve"> </w:t>
      </w:r>
      <w:r>
        <w:rPr>
          <w:sz w:val="22"/>
          <w:szCs w:val="22"/>
        </w:rPr>
        <w:t>The statistical tests show that moving the gate to level 40 reduced 7-day retention from 19.0% to 18.2%, a relative drop of roughly 4%. The confidence interval excludes zero and a bootstrap check agrees, so the drop is unlikely to be due to chance. However, total play did not change meaningfully, so the gate is not increasing engagement to offset the loss. Fewer players are still active a week after install, and nothing in this data shows a benefit.</w:t>
      </w:r>
    </w:p>
    <w:p w14:paraId="01DCDB59" w14:textId="275595CD" w:rsidR="00B01A78" w:rsidRDefault="00B01A78" w:rsidP="00B01A78">
      <w:pPr>
        <w:pStyle w:val="Heading3"/>
      </w:pPr>
      <w:r>
        <w:t>Evidence:</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B01A78" w:rsidRPr="00B01A78" w14:paraId="0E373806" w14:textId="77777777">
        <w:tc>
          <w:tcPr>
            <w:tcW w:w="1502" w:type="dxa"/>
          </w:tcPr>
          <w:p w14:paraId="0EE77BF0" w14:textId="77777777" w:rsidR="00B01A78" w:rsidRPr="002E7278" w:rsidRDefault="00B01A78" w:rsidP="00214804">
            <w:pPr>
              <w:rPr>
                <w:sz w:val="22"/>
                <w:szCs w:val="22"/>
              </w:rPr>
            </w:pPr>
            <w:r>
              <w:rPr>
                <w:sz w:val="22"/>
                <w:szCs w:val="22"/>
              </w:rPr>
              <w:t>Metric</w:t>
            </w:r>
          </w:p>
        </w:tc>
        <w:tc>
          <w:tcPr>
            <w:tcW w:w="1502" w:type="dxa"/>
          </w:tcPr>
          <w:p w14:paraId="618A5C5C" w14:textId="77777777" w:rsidR="00B01A78" w:rsidRPr="002E7278" w:rsidRDefault="00B01A78" w:rsidP="00214804">
            <w:pPr>
              <w:rPr>
                <w:sz w:val="22"/>
                <w:szCs w:val="22"/>
              </w:rPr>
            </w:pPr>
            <w:r>
              <w:rPr>
                <w:sz w:val="22"/>
                <w:szCs w:val="22"/>
              </w:rPr>
              <w:t>gate_30</w:t>
            </w:r>
          </w:p>
        </w:tc>
        <w:tc>
          <w:tcPr>
            <w:tcW w:w="1503" w:type="dxa"/>
          </w:tcPr>
          <w:p w14:paraId="14061BC7" w14:textId="77777777" w:rsidR="00B01A78" w:rsidRPr="002E7278" w:rsidRDefault="00B01A78" w:rsidP="00214804">
            <w:pPr>
              <w:rPr>
                <w:sz w:val="22"/>
                <w:szCs w:val="22"/>
              </w:rPr>
            </w:pPr>
            <w:r>
              <w:rPr>
                <w:sz w:val="22"/>
                <w:szCs w:val="22"/>
              </w:rPr>
              <w:t>gate_40</w:t>
            </w:r>
          </w:p>
        </w:tc>
        <w:tc>
          <w:tcPr>
            <w:tcW w:w="1503" w:type="dxa"/>
          </w:tcPr>
          <w:p w14:paraId="4964596A" w14:textId="77777777" w:rsidR="00B01A78" w:rsidRPr="002E7278" w:rsidRDefault="00B01A78" w:rsidP="00214804">
            <w:pPr>
              <w:rPr>
                <w:sz w:val="22"/>
                <w:szCs w:val="22"/>
              </w:rPr>
            </w:pPr>
            <w:r>
              <w:rPr>
                <w:sz w:val="22"/>
                <w:szCs w:val="22"/>
              </w:rPr>
              <w:t>Difference (gate_40 − gate_30)</w:t>
            </w:r>
          </w:p>
        </w:tc>
        <w:tc>
          <w:tcPr>
            <w:tcW w:w="1503" w:type="dxa"/>
          </w:tcPr>
          <w:p w14:paraId="29C71339" w14:textId="77777777" w:rsidR="00B01A78" w:rsidRPr="002E7278" w:rsidRDefault="00B01A78" w:rsidP="00214804">
            <w:pPr>
              <w:rPr>
                <w:sz w:val="22"/>
                <w:szCs w:val="22"/>
              </w:rPr>
            </w:pPr>
            <w:r>
              <w:rPr>
                <w:sz w:val="22"/>
                <w:szCs w:val="22"/>
              </w:rPr>
              <w:t>95% CI</w:t>
            </w:r>
          </w:p>
        </w:tc>
        <w:tc>
          <w:tcPr>
            <w:tcW w:w="1503" w:type="dxa"/>
          </w:tcPr>
          <w:p w14:paraId="553931C5" w14:textId="77777777" w:rsidR="00B01A78" w:rsidRPr="002E7278" w:rsidRDefault="00B01A78" w:rsidP="00214804">
            <w:pPr>
              <w:rPr>
                <w:sz w:val="22"/>
                <w:szCs w:val="22"/>
              </w:rPr>
            </w:pPr>
            <w:r>
              <w:rPr>
                <w:sz w:val="22"/>
                <w:szCs w:val="22"/>
              </w:rPr>
              <w:t>p-value</w:t>
            </w:r>
          </w:p>
        </w:tc>
      </w:tr>
      <w:tr w:rsidR="00B01A78" w:rsidRPr="00B01A78" w14:paraId="59AB7CF6" w14:textId="77777777">
        <w:tc>
          <w:tcPr>
            <w:tcW w:w="1502" w:type="dxa"/>
          </w:tcPr>
          <w:p w14:paraId="776CEF68" w14:textId="77777777" w:rsidR="00B01A78" w:rsidRPr="002E7278" w:rsidRDefault="00B01A78" w:rsidP="00214804">
            <w:pPr>
              <w:rPr>
                <w:sz w:val="22"/>
                <w:szCs w:val="22"/>
              </w:rPr>
            </w:pPr>
            <w:r>
              <w:rPr>
                <w:sz w:val="22"/>
                <w:szCs w:val="22"/>
              </w:rPr>
              <w:t>1-day retention</w:t>
            </w:r>
          </w:p>
        </w:tc>
        <w:tc>
          <w:tcPr>
            <w:tcW w:w="1502" w:type="dxa"/>
          </w:tcPr>
          <w:p w14:paraId="29294F96" w14:textId="77777777" w:rsidR="00B01A78" w:rsidRPr="002E7278" w:rsidRDefault="00B01A78" w:rsidP="00214804">
            <w:pPr>
              <w:rPr>
                <w:sz w:val="22"/>
                <w:szCs w:val="22"/>
              </w:rPr>
            </w:pPr>
            <w:r>
              <w:rPr>
                <w:sz w:val="22"/>
                <w:szCs w:val="22"/>
              </w:rPr>
              <w:t>44.8%</w:t>
            </w:r>
          </w:p>
        </w:tc>
        <w:tc>
          <w:tcPr>
            <w:tcW w:w="1503" w:type="dxa"/>
          </w:tcPr>
          <w:p w14:paraId="30DEE910" w14:textId="77777777" w:rsidR="00B01A78" w:rsidRPr="002E7278" w:rsidRDefault="00B01A78" w:rsidP="00214804">
            <w:pPr>
              <w:rPr>
                <w:sz w:val="22"/>
                <w:szCs w:val="22"/>
              </w:rPr>
            </w:pPr>
            <w:r>
              <w:rPr>
                <w:sz w:val="22"/>
                <w:szCs w:val="22"/>
              </w:rPr>
              <w:t>44.2%</w:t>
            </w:r>
          </w:p>
        </w:tc>
        <w:tc>
          <w:tcPr>
            <w:tcW w:w="1503" w:type="dxa"/>
          </w:tcPr>
          <w:p w14:paraId="729FCDCC" w14:textId="77777777" w:rsidR="00B01A78" w:rsidRPr="002E7278" w:rsidRDefault="00B01A78" w:rsidP="00214804">
            <w:pPr>
              <w:rPr>
                <w:sz w:val="22"/>
                <w:szCs w:val="22"/>
              </w:rPr>
            </w:pPr>
            <w:r>
              <w:rPr>
                <w:sz w:val="22"/>
                <w:szCs w:val="22"/>
              </w:rPr>
              <w:t>−0.6 pp</w:t>
            </w:r>
          </w:p>
        </w:tc>
        <w:tc>
          <w:tcPr>
            <w:tcW w:w="1503" w:type="dxa"/>
          </w:tcPr>
          <w:p w14:paraId="77A6F3C8" w14:textId="77777777" w:rsidR="00B01A78" w:rsidRPr="002E7278" w:rsidRDefault="00B01A78" w:rsidP="00214804">
            <w:pPr>
              <w:rPr>
                <w:sz w:val="22"/>
                <w:szCs w:val="22"/>
              </w:rPr>
            </w:pPr>
            <w:r>
              <w:rPr>
                <w:sz w:val="22"/>
                <w:szCs w:val="22"/>
              </w:rPr>
              <w:t>−1.24 to +0.06 pp</w:t>
            </w:r>
          </w:p>
        </w:tc>
        <w:tc>
          <w:tcPr>
            <w:tcW w:w="1503" w:type="dxa"/>
          </w:tcPr>
          <w:p w14:paraId="5AE3366B" w14:textId="77777777" w:rsidR="00B01A78" w:rsidRPr="002E7278" w:rsidRDefault="00B01A78" w:rsidP="00214804">
            <w:pPr>
              <w:rPr>
                <w:sz w:val="22"/>
                <w:szCs w:val="22"/>
              </w:rPr>
            </w:pPr>
            <w:r>
              <w:rPr>
                <w:sz w:val="22"/>
                <w:szCs w:val="22"/>
              </w:rPr>
              <w:t>0.074</w:t>
            </w:r>
          </w:p>
        </w:tc>
      </w:tr>
      <w:tr w:rsidR="00B01A78" w:rsidRPr="00B01A78" w14:paraId="79AA202D" w14:textId="77777777">
        <w:tc>
          <w:tcPr>
            <w:tcW w:w="1502" w:type="dxa"/>
          </w:tcPr>
          <w:p w14:paraId="22E5DE42" w14:textId="77777777" w:rsidR="00B01A78" w:rsidRPr="002E7278" w:rsidRDefault="00B01A78" w:rsidP="00214804">
            <w:pPr>
              <w:rPr>
                <w:sz w:val="22"/>
                <w:szCs w:val="22"/>
              </w:rPr>
            </w:pPr>
            <w:r>
              <w:rPr>
                <w:sz w:val="22"/>
                <w:szCs w:val="22"/>
              </w:rPr>
              <w:t>7-day retention (primary)</w:t>
            </w:r>
          </w:p>
        </w:tc>
        <w:tc>
          <w:tcPr>
            <w:tcW w:w="1502" w:type="dxa"/>
          </w:tcPr>
          <w:p w14:paraId="678C4B3D" w14:textId="77777777" w:rsidR="00B01A78" w:rsidRPr="002E7278" w:rsidRDefault="00B01A78" w:rsidP="00214804">
            <w:pPr>
              <w:rPr>
                <w:sz w:val="22"/>
                <w:szCs w:val="22"/>
              </w:rPr>
            </w:pPr>
            <w:r>
              <w:rPr>
                <w:sz w:val="22"/>
                <w:szCs w:val="22"/>
              </w:rPr>
              <w:t>19.0%</w:t>
            </w:r>
          </w:p>
        </w:tc>
        <w:tc>
          <w:tcPr>
            <w:tcW w:w="1503" w:type="dxa"/>
          </w:tcPr>
          <w:p w14:paraId="0C2F4505" w14:textId="77777777" w:rsidR="00B01A78" w:rsidRPr="002E7278" w:rsidRDefault="00B01A78" w:rsidP="00214804">
            <w:pPr>
              <w:rPr>
                <w:sz w:val="22"/>
                <w:szCs w:val="22"/>
              </w:rPr>
            </w:pPr>
            <w:r>
              <w:rPr>
                <w:sz w:val="22"/>
                <w:szCs w:val="22"/>
              </w:rPr>
              <w:t>18.2%</w:t>
            </w:r>
          </w:p>
        </w:tc>
        <w:tc>
          <w:tcPr>
            <w:tcW w:w="1503" w:type="dxa"/>
          </w:tcPr>
          <w:p w14:paraId="0C778CD6" w14:textId="77777777" w:rsidR="00B01A78" w:rsidRPr="002E7278" w:rsidRDefault="00B01A78" w:rsidP="00214804">
            <w:pPr>
              <w:rPr>
                <w:sz w:val="22"/>
                <w:szCs w:val="22"/>
              </w:rPr>
            </w:pPr>
            <w:r>
              <w:rPr>
                <w:sz w:val="22"/>
                <w:szCs w:val="22"/>
              </w:rPr>
              <w:t>−0.8 pp</w:t>
            </w:r>
          </w:p>
        </w:tc>
        <w:tc>
          <w:tcPr>
            <w:tcW w:w="1503" w:type="dxa"/>
          </w:tcPr>
          <w:p w14:paraId="6162B42C" w14:textId="77777777" w:rsidR="00B01A78" w:rsidRPr="002E7278" w:rsidRDefault="00B01A78" w:rsidP="00214804">
            <w:pPr>
              <w:rPr>
                <w:sz w:val="22"/>
                <w:szCs w:val="22"/>
              </w:rPr>
            </w:pPr>
            <w:r>
              <w:rPr>
                <w:sz w:val="22"/>
                <w:szCs w:val="22"/>
              </w:rPr>
              <w:t>−1.33 to −0.31 pp</w:t>
            </w:r>
          </w:p>
        </w:tc>
        <w:tc>
          <w:tcPr>
            <w:tcW w:w="1503" w:type="dxa"/>
          </w:tcPr>
          <w:p w14:paraId="22A6F24C" w14:textId="77777777" w:rsidR="00B01A78" w:rsidRPr="002E7278" w:rsidRDefault="00B01A78" w:rsidP="00214804">
            <w:pPr>
              <w:rPr>
                <w:sz w:val="22"/>
                <w:szCs w:val="22"/>
              </w:rPr>
            </w:pPr>
            <w:r>
              <w:rPr>
                <w:sz w:val="22"/>
                <w:szCs w:val="22"/>
              </w:rPr>
              <w:t>0.0016</w:t>
            </w:r>
          </w:p>
        </w:tc>
      </w:tr>
      <w:tr w:rsidR="00B01A78" w:rsidRPr="00B01A78" w14:paraId="5307A434" w14:textId="77777777">
        <w:tc>
          <w:tcPr>
            <w:tcW w:w="1502" w:type="dxa"/>
          </w:tcPr>
          <w:p w14:paraId="0EA164FF" w14:textId="77777777" w:rsidR="00B01A78" w:rsidRPr="002E7278" w:rsidRDefault="00B01A78" w:rsidP="00214804">
            <w:pPr>
              <w:rPr>
                <w:sz w:val="22"/>
                <w:szCs w:val="22"/>
              </w:rPr>
            </w:pPr>
            <w:r>
              <w:rPr>
                <w:sz w:val="22"/>
                <w:szCs w:val="22"/>
              </w:rPr>
              <w:t>Rounds played (mean, outlier excluded)</w:t>
            </w:r>
          </w:p>
        </w:tc>
        <w:tc>
          <w:tcPr>
            <w:tcW w:w="1502" w:type="dxa"/>
          </w:tcPr>
          <w:p w14:paraId="60AC4DD9" w14:textId="77777777" w:rsidR="00B01A78" w:rsidRPr="002E7278" w:rsidRDefault="00B01A78" w:rsidP="00214804">
            <w:pPr>
              <w:rPr>
                <w:sz w:val="22"/>
                <w:szCs w:val="22"/>
              </w:rPr>
            </w:pPr>
            <w:r>
              <w:rPr>
                <w:sz w:val="22"/>
                <w:szCs w:val="22"/>
              </w:rPr>
              <w:t>51.3</w:t>
            </w:r>
          </w:p>
        </w:tc>
        <w:tc>
          <w:tcPr>
            <w:tcW w:w="1503" w:type="dxa"/>
          </w:tcPr>
          <w:p w14:paraId="4D33550C" w14:textId="77777777" w:rsidR="00B01A78" w:rsidRPr="002E7278" w:rsidRDefault="00B01A78" w:rsidP="00214804">
            <w:pPr>
              <w:rPr>
                <w:sz w:val="22"/>
                <w:szCs w:val="22"/>
              </w:rPr>
            </w:pPr>
            <w:r>
              <w:rPr>
                <w:sz w:val="22"/>
                <w:szCs w:val="22"/>
              </w:rPr>
              <w:t>51.3</w:t>
            </w:r>
          </w:p>
        </w:tc>
        <w:tc>
          <w:tcPr>
            <w:tcW w:w="1503" w:type="dxa"/>
          </w:tcPr>
          <w:p w14:paraId="455297AF" w14:textId="77777777" w:rsidR="00B01A78" w:rsidRPr="002E7278" w:rsidRDefault="00B01A78" w:rsidP="00214804">
            <w:pPr>
              <w:rPr>
                <w:sz w:val="22"/>
                <w:szCs w:val="22"/>
              </w:rPr>
            </w:pPr>
            <w:r>
              <w:rPr>
                <w:sz w:val="22"/>
                <w:szCs w:val="22"/>
              </w:rPr>
              <w:t>−0.04</w:t>
            </w:r>
          </w:p>
        </w:tc>
        <w:tc>
          <w:tcPr>
            <w:tcW w:w="1503" w:type="dxa"/>
          </w:tcPr>
          <w:p w14:paraId="0C91E4C0" w14:textId="77777777" w:rsidR="00B01A78" w:rsidRPr="002E7278" w:rsidRDefault="00B01A78" w:rsidP="00214804">
            <w:pPr>
              <w:rPr>
                <w:sz w:val="22"/>
                <w:szCs w:val="22"/>
              </w:rPr>
            </w:pPr>
            <w:r>
              <w:rPr>
                <w:sz w:val="22"/>
                <w:szCs w:val="22"/>
              </w:rPr>
              <w:t>n/a</w:t>
            </w:r>
          </w:p>
        </w:tc>
        <w:tc>
          <w:tcPr>
            <w:tcW w:w="1503" w:type="dxa"/>
          </w:tcPr>
          <w:p w14:paraId="54015ADD" w14:textId="77777777" w:rsidR="00B01A78" w:rsidRPr="002E7278" w:rsidRDefault="00B01A78" w:rsidP="00214804">
            <w:pPr>
              <w:rPr>
                <w:sz w:val="22"/>
                <w:szCs w:val="22"/>
              </w:rPr>
            </w:pPr>
            <w:r>
              <w:rPr>
                <w:sz w:val="22"/>
                <w:szCs w:val="22"/>
              </w:rPr>
              <w:t>0.051 (Mann-Whitney)</w:t>
            </w:r>
          </w:p>
        </w:tc>
      </w:tr>
    </w:tbl>
    <w:p w14:paraId="28C43F7F" w14:textId="4D43FD4A" w:rsidR="00B01A78" w:rsidRPr="00B01A78" w:rsidRDefault="00B01A78" w:rsidP="00B01A78">
      <w:pPr>
        <w:rPr>
          <w:sz w:val="22"/>
          <w:szCs w:val="22"/>
        </w:rPr>
      </w:pPr>
      <w:r>
        <w:rPr>
          <w:sz w:val="22"/>
          <w:szCs w:val="22"/>
        </w:rPr>
        <w:t>A bootstrap with 10,000 resamples gave a 7-day interval of −1.32 to −0.33 pp, which agrees with the z-test.</w:t>
      </w:r>
    </w:p>
    <w:p w14:paraId="13CE9EA3" w14:textId="2B9B33E5" w:rsidR="00B01A78" w:rsidRPr="002E7278" w:rsidRDefault="00B01A78" w:rsidP="00B01A78">
      <w:pPr>
        <w:rPr>
          <w:rFonts w:eastAsiaTheme="majorEastAsia" w:cstheme="majorBidi"/>
          <w:color w:val="0F4761" w:themeColor="accent1" w:themeShade="BF"/>
          <w:sz w:val="28"/>
          <w:szCs w:val="28"/>
        </w:rPr>
      </w:pPr>
      <w:r>
        <w:rPr>
          <w:rStyle w:val="Heading3Char"/>
        </w:rPr>
        <w:t xml:space="preserve">Business impact:</w:t>
      </w:r>
      <w:r>
        <w:rPr>
          <w:sz w:val="22"/>
          <w:szCs w:val="22"/>
        </w:rPr>
        <w:t xml:space="preserve"> There are about 820 fewer players still active at day 7 per 100,000 installs.</w:t>
      </w:r>
    </w:p>
    <w:p w14:paraId="7643AEF3" w14:textId="4EFB62A6" w:rsidR="00B01A78" w:rsidRDefault="00B01A78" w:rsidP="00B01A78">
      <w:pPr>
        <w:pStyle w:val="Heading3"/>
      </w:pPr>
      <w:r>
        <w:t>Risks and limitations:</w:t>
      </w:r>
    </w:p>
    <w:p w14:paraId="1D9B9B63" w14:textId="29EAEF18" w:rsidR="00B01A78" w:rsidRPr="00EB094C" w:rsidRDefault="00EB094C" w:rsidP="00EB094C">
      <w:pPr>
        <w:pStyle w:val="ListParagraph"/>
        <w:numPr>
          <w:ilvl w:val="0"/>
          <w:numId w:val="1"/>
        </w:numPr>
        <w:rPr>
          <w:sz w:val="22"/>
          <w:szCs w:val="22"/>
        </w:rPr>
      </w:pPr>
      <w:r>
        <w:rPr>
          <w:sz w:val="22"/>
          <w:szCs w:val="22"/>
        </w:rPr>
        <w:t xml:space="preserve">There is a minor imbalance in group size (44,700 vs 45,489, chi-square p = 0.009). This did not meet the usual alarm threshold (p &lt; 0.001) but is worth flagging.</w:t>
      </w:r>
    </w:p>
    <w:p w14:paraId="75A4E939" w14:textId="172FCF2E" w:rsidR="00B01A78" w:rsidRPr="00EB094C" w:rsidRDefault="00EB094C" w:rsidP="00EB094C">
      <w:pPr>
        <w:pStyle w:val="ListParagraph"/>
        <w:numPr>
          <w:ilvl w:val="0"/>
          <w:numId w:val="1"/>
        </w:numPr>
        <w:rPr>
          <w:sz w:val="22"/>
          <w:szCs w:val="22"/>
        </w:rPr>
      </w:pPr>
      <w:r>
        <w:rPr>
          <w:sz w:val="22"/>
          <w:szCs w:val="22"/>
        </w:rPr>
        <w:t>There was one extreme outlier (49,854 rounds, likely a bot or logging error). It was excluded from the rounds comparison only.</w:t>
      </w:r>
    </w:p>
    <w:p w14:paraId="52941BC1" w14:textId="184B6460" w:rsidR="00B01A78" w:rsidRPr="00EB094C" w:rsidRDefault="00EB094C" w:rsidP="00EB094C">
      <w:pPr>
        <w:pStyle w:val="ListParagraph"/>
        <w:numPr>
          <w:ilvl w:val="0"/>
          <w:numId w:val="1"/>
        </w:numPr>
        <w:rPr>
          <w:sz w:val="22"/>
          <w:szCs w:val="22"/>
        </w:rPr>
      </w:pPr>
      <w:r>
        <w:rPr>
          <w:sz w:val="22"/>
          <w:szCs w:val="22"/>
        </w:rPr>
        <w:t>There is no revenue data, so we cannot say whether gate_40 earns more from in-app purchases.</w:t>
      </w:r>
    </w:p>
    <w:p w14:paraId="16F99242" w14:textId="10E602F5" w:rsidR="00B01A78" w:rsidRPr="00EB094C" w:rsidRDefault="00B01A78" w:rsidP="00EB094C">
      <w:pPr>
        <w:pStyle w:val="ListParagraph"/>
        <w:numPr>
          <w:ilvl w:val="0"/>
          <w:numId w:val="1"/>
        </w:numPr>
        <w:rPr>
          <w:sz w:val="22"/>
          <w:szCs w:val="22"/>
        </w:rPr>
      </w:pPr>
      <w:r>
        <w:rPr>
          <w:sz w:val="22"/>
          <w:szCs w:val="22"/>
        </w:rPr>
        <w:t xml:space="preserve">Only 7 days of follow-up, so long-term retention is unknown.</w:t>
      </w:r>
    </w:p>
    <w:p w14:paraId="06E7C064" w14:textId="1D045FC3" w:rsidR="00B01A78" w:rsidRPr="00EB094C" w:rsidRDefault="00B01A78" w:rsidP="00EB094C">
      <w:pPr>
        <w:pStyle w:val="ListParagraph"/>
        <w:numPr>
          <w:ilvl w:val="0"/>
          <w:numId w:val="1"/>
        </w:numPr>
        <w:rPr>
          <w:sz w:val="22"/>
          <w:szCs w:val="22"/>
        </w:rPr>
      </w:pPr>
      <w:r>
        <w:rPr>
          <w:sz w:val="22"/>
          <w:szCs w:val="22"/>
        </w:rPr>
        <w:t>The test could reliably detect drops of about 0.8 pp or more, but would likely miss effects under about 0.5 pp.</w:t>
      </w:r>
    </w:p>
    <w:p w14:paraId="03CC7D25" w14:textId="77777777" w:rsidR="00B01A78" w:rsidRDefault="00B01A78" w:rsidP="00B01A78">
      <w:pPr>
        <w:pStyle w:val="Heading3"/>
      </w:pPr>
      <w:r>
        <w:t>Next steps:</w:t>
      </w:r>
    </w:p>
    <w:p w14:paraId="179D3070" w14:textId="77777777" w:rsidR="00B01A78" w:rsidRPr="00EB094C" w:rsidRDefault="00B01A78" w:rsidP="00EB094C">
      <w:pPr>
        <w:pStyle w:val="ListParagraph"/>
        <w:numPr>
          <w:ilvl w:val="0"/>
          <w:numId w:val="2"/>
        </w:numPr>
        <w:rPr>
          <w:sz w:val="22"/>
          <w:szCs w:val="22"/>
        </w:rPr>
      </w:pPr>
      <w:r>
        <w:rPr>
          <w:sz w:val="22"/>
          <w:szCs w:val="22"/>
        </w:rPr>
        <w:t>Obtain revenue data and check whether gate_40 increases purchases.</w:t>
      </w:r>
    </w:p>
    <w:p w14:paraId="3A5E1EB7" w14:textId="50DF0A5B" w:rsidR="00B01A78" w:rsidRPr="00EB094C" w:rsidRDefault="00B01A78" w:rsidP="00EB094C">
      <w:pPr>
        <w:pStyle w:val="ListParagraph"/>
        <w:numPr>
          <w:ilvl w:val="0"/>
          <w:numId w:val="2"/>
        </w:numPr>
        <w:rPr>
          <w:sz w:val="22"/>
          <w:szCs w:val="22"/>
        </w:rPr>
      </w:pPr>
      <w:r>
        <w:rPr>
          <w:sz w:val="22"/>
          <w:szCs w:val="22"/>
        </w:rPr>
        <w:t>Consider testing a gate earlier than level 30.</w:t>
      </w:r>
    </w:p>
    <w:p w14:paraId="428489B3" w14:textId="47CD378F" w:rsidR="00D6267C" w:rsidRPr="00EB094C" w:rsidRDefault="00B01A78" w:rsidP="00EB094C">
      <w:pPr>
        <w:pStyle w:val="ListParagraph"/>
        <w:numPr>
          <w:ilvl w:val="0"/>
          <w:numId w:val="2"/>
        </w:numPr>
        <w:rPr>
          <w:sz w:val="22"/>
          <w:szCs w:val="22"/>
        </w:rPr>
      </w:pPr>
      <w:r>
        <w:rPr>
          <w:sz w:val="22"/>
          <w:szCs w:val="22"/>
        </w:rPr>
        <w:t>Run a longer-term retention follow-up (30 days).</w:t>
      </w:r>
    </w:p>
    <w:sectPr w:rsidR="00D6267C" w:rsidRPr="00EB09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60732"/>
    <w:multiLevelType w:val="hybridMultilevel"/>
    <w:tmpl w:val="669CF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F1E7E1D"/>
    <w:multiLevelType w:val="hybridMultilevel"/>
    <w:tmpl w:val="F7505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1058595">
    <w:abstractNumId w:val="1"/>
  </w:num>
  <w:num w:numId="2" w16cid:durableId="2632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67C"/>
    <w:rsid w:val="00193BED"/>
    <w:rsid w:val="002E7278"/>
    <w:rsid w:val="00360F02"/>
    <w:rsid w:val="00B01A78"/>
    <w:rsid w:val="00B90037"/>
    <w:rsid w:val="00BF0FD8"/>
    <w:rsid w:val="00D6267C"/>
    <w:rsid w:val="00EB09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2B6F9"/>
  <w15:chartTrackingRefBased/>
  <w15:docId w15:val="{BCC884D5-D593-4E09-BDF7-D612CFAC0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2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2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2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2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67C"/>
    <w:rPr>
      <w:rFonts w:eastAsiaTheme="majorEastAsia" w:cstheme="majorBidi"/>
      <w:color w:val="272727" w:themeColor="text1" w:themeTint="D8"/>
    </w:rPr>
  </w:style>
  <w:style w:type="paragraph" w:styleId="Title">
    <w:name w:val="Title"/>
    <w:basedOn w:val="Normal"/>
    <w:next w:val="Normal"/>
    <w:link w:val="TitleChar"/>
    <w:uiPriority w:val="10"/>
    <w:qFormat/>
    <w:rsid w:val="00D62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67C"/>
    <w:pPr>
      <w:spacing w:before="160"/>
      <w:jc w:val="center"/>
    </w:pPr>
    <w:rPr>
      <w:i/>
      <w:iCs/>
      <w:color w:val="404040" w:themeColor="text1" w:themeTint="BF"/>
    </w:rPr>
  </w:style>
  <w:style w:type="character" w:customStyle="1" w:styleId="QuoteChar">
    <w:name w:val="Quote Char"/>
    <w:basedOn w:val="DefaultParagraphFont"/>
    <w:link w:val="Quote"/>
    <w:uiPriority w:val="29"/>
    <w:rsid w:val="00D6267C"/>
    <w:rPr>
      <w:i/>
      <w:iCs/>
      <w:color w:val="404040" w:themeColor="text1" w:themeTint="BF"/>
    </w:rPr>
  </w:style>
  <w:style w:type="paragraph" w:styleId="ListParagraph">
    <w:name w:val="List Paragraph"/>
    <w:basedOn w:val="Normal"/>
    <w:uiPriority w:val="34"/>
    <w:qFormat/>
    <w:rsid w:val="00D6267C"/>
    <w:pPr>
      <w:ind w:left="720"/>
      <w:contextualSpacing/>
    </w:pPr>
  </w:style>
  <w:style w:type="character" w:styleId="IntenseEmphasis">
    <w:name w:val="Intense Emphasis"/>
    <w:basedOn w:val="DefaultParagraphFont"/>
    <w:uiPriority w:val="21"/>
    <w:qFormat/>
    <w:rsid w:val="00D6267C"/>
    <w:rPr>
      <w:i/>
      <w:iCs/>
      <w:color w:val="0F4761" w:themeColor="accent1" w:themeShade="BF"/>
    </w:rPr>
  </w:style>
  <w:style w:type="paragraph" w:styleId="IntenseQuote">
    <w:name w:val="Intense Quote"/>
    <w:basedOn w:val="Normal"/>
    <w:next w:val="Normal"/>
    <w:link w:val="IntenseQuoteChar"/>
    <w:uiPriority w:val="30"/>
    <w:qFormat/>
    <w:rsid w:val="00D62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67C"/>
    <w:rPr>
      <w:i/>
      <w:iCs/>
      <w:color w:val="0F4761" w:themeColor="accent1" w:themeShade="BF"/>
    </w:rPr>
  </w:style>
  <w:style w:type="character" w:styleId="IntenseReference">
    <w:name w:val="Intense Reference"/>
    <w:basedOn w:val="DefaultParagraphFont"/>
    <w:uiPriority w:val="32"/>
    <w:qFormat/>
    <w:rsid w:val="00D6267C"/>
    <w:rPr>
      <w:b/>
      <w:bCs/>
      <w:smallCaps/>
      <w:color w:val="0F4761" w:themeColor="accent1" w:themeShade="BF"/>
      <w:spacing w:val="5"/>
    </w:rPr>
  </w:style>
  <w:style w:type="table" w:styleId="TableGrid">
    <w:name w:val="Table Grid"/>
    <w:basedOn w:val="TableNormal"/>
    <w:uiPriority w:val="39"/>
    <w:rsid w:val="00B01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chido zinyakatira</dc:creator>
  <cp:keywords/>
  <dc:description/>
  <cp:lastModifiedBy>chido zinyakatira</cp:lastModifiedBy>
  <cp:revision>4</cp:revision>
  <dcterms:created xsi:type="dcterms:W3CDTF">2026-10-28T09:54:00Z</dcterms:created>
  <dcterms:modified xsi:type="dcterms:W3CDTF">2026-10-28T10:46:00Z</dcterms:modified>
</cp:coreProperties>
</file>