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2: Exploratory Data Analysis (EDA)</w:t>
      </w:r>
    </w:p>
    <w:p>
      <w:r>
        <w:t>Key Observations and Final EDA Summary</w:t>
      </w:r>
    </w:p>
    <w:p>
      <w:r>
        <w:t>Dataset: DecodeLab Data Analytics Dataset | Records analyzed: 1,200</w:t>
      </w:r>
    </w:p>
    <w:p>
      <w:pPr>
        <w:pStyle w:val="Heading1"/>
      </w:pPr>
      <w:r>
        <w:t>Key Observations</w:t>
      </w:r>
    </w:p>
    <w:p>
      <w:pPr>
        <w:pStyle w:val="Heading2"/>
      </w:pPr>
      <w:r>
        <w:t>1. Order Quantity</w:t>
      </w:r>
    </w:p>
    <w:p>
      <w:r>
        <w:t>The average quantity per order was 2.95 units, while the median was 3 units, indicating that a typical order contained approximately 3 units.</w:t>
      </w:r>
    </w:p>
    <w:p>
      <w:pPr>
        <w:pStyle w:val="Heading2"/>
      </w:pPr>
      <w:r>
        <w:t>2. Order Status</w:t>
      </w:r>
    </w:p>
    <w:p>
      <w:r>
        <w:t>Order statuses were relatively evenly distributed. Cancelled orders were the largest category with 250 orders (20.83%), while Delivered orders accounted for 231 orders (19.25%).</w:t>
      </w:r>
    </w:p>
    <w:p>
      <w:pPr>
        <w:pStyle w:val="Heading2"/>
      </w:pPr>
      <w:r>
        <w:t>3. Payment Method</w:t>
      </w:r>
    </w:p>
    <w:p>
      <w:r>
        <w:t>Online payment had the highest number of orders with 258 (21.50%), while Gift Card had the lowest with 230 (19.17%). Overall, the five payment methods were fairly evenly distributed.</w:t>
      </w:r>
    </w:p>
    <w:p>
      <w:pPr>
        <w:pStyle w:val="Heading2"/>
      </w:pPr>
      <w:r>
        <w:t>4. Referral Source</w:t>
      </w:r>
    </w:p>
    <w:p>
      <w:r>
        <w:t>Instagram generated the highest number of orders with 259 (21.58%), while Referral generated the lowest with 222 (18.50%). The relatively close percentages indicate a fairly balanced distribution across referral sources.</w:t>
      </w:r>
    </w:p>
    <w:p>
      <w:pPr>
        <w:pStyle w:val="Heading2"/>
      </w:pPr>
      <w:r>
        <w:t>5. Product Performance</w:t>
      </w:r>
    </w:p>
    <w:p>
      <w:r>
        <w:t>Chair was the highest-performing product in the analysis, generating $195,620.11 in revenue, selling 562 units, and appearing in 178 orders. Phone recorded the lowest figures among the products analyzed, with $151,722.39 in revenue, 411 units, and 156 orders.</w:t>
      </w:r>
    </w:p>
    <w:p>
      <w:pPr>
        <w:pStyle w:val="Heading2"/>
      </w:pPr>
      <w:r>
        <w:t>6. Sales Trend</w:t>
      </w:r>
    </w:p>
    <w:p>
      <w:r>
        <w:t>Sales varied across the analysis period, with fluctuations between months. The dataset contains only January–June 2025, so 2025 should not be compared directly with the full-year totals for 2023 and 2024.</w:t>
      </w:r>
    </w:p>
    <w:p>
      <w:pPr>
        <w:pStyle w:val="Heading2"/>
      </w:pPr>
      <w:r>
        <w:t>7. Outliers</w:t>
      </w:r>
    </w:p>
    <w:p>
      <w:r>
        <w:t>The TotalPrice analysis identified 8 potential outliers out of 1,200 orders (0.67%) using the 1.5 × IQR rule. These represent unusually high-value orders and should not automatically be considered errors.</w:t>
      </w:r>
    </w:p>
    <w:p>
      <w:pPr>
        <w:pStyle w:val="Heading1"/>
      </w:pPr>
      <w:r>
        <w:t>Final EDA Summary</w:t>
      </w:r>
    </w:p>
    <w:p>
      <w:r>
        <w:t>The exploratory data analysis of 1,200 orders revealed patterns in order quantities, sales performance, order status, payment methods, referral sources, and product performance. The average order quantity was 2.95 units, with a median of 3 units. Order statuses, payment methods, and referral sources were relatively evenly distributed. Chair recorded the highest revenue, quantity sold, and number of orders among the products analyzed. Sales varied over time, while the outlier analysis identified 8 potential high-value orders using the IQR method. Overall, the EDA provided a clearer understanding of the dataset's distributions, trends, and unusual observations.</w:t>
      </w:r>
    </w:p>
    <w:p>
      <w:pPr>
        <w:pStyle w:val="Heading1"/>
      </w:pPr>
      <w:r>
        <w:t>Assignment Requirements Covered</w:t>
      </w:r>
    </w:p>
    <w:p>
      <w:pPr>
        <w:pStyle w:val="ListBullet"/>
      </w:pPr>
      <w:r>
        <w:t>Mean</w:t>
      </w:r>
    </w:p>
    <w:p>
      <w:pPr>
        <w:pStyle w:val="ListBullet"/>
      </w:pPr>
      <w:r>
        <w:t>Median</w:t>
      </w:r>
    </w:p>
    <w:p>
      <w:pPr>
        <w:pStyle w:val="ListBullet"/>
      </w:pPr>
      <w:r>
        <w:t>Count</w:t>
      </w:r>
    </w:p>
    <w:p>
      <w:pPr>
        <w:pStyle w:val="ListBullet"/>
      </w:pPr>
      <w:r>
        <w:t>Trends</w:t>
      </w:r>
    </w:p>
    <w:p>
      <w:pPr>
        <w:pStyle w:val="ListBullet"/>
      </w:pPr>
      <w:r>
        <w:t>Outliers</w:t>
      </w:r>
    </w:p>
    <w:p>
      <w:pPr>
        <w:pStyle w:val="ListBullet"/>
      </w:pPr>
      <w:r>
        <w:t>Key observations</w:t>
      </w:r>
    </w:p>
    <w:p>
      <w:pPr>
        <w:pStyle w:val="ListBullet"/>
      </w:pPr>
      <w:r>
        <w:t>Descriptive statistics</w:t>
      </w:r>
    </w:p>
    <w:p>
      <w:pPr>
        <w:pStyle w:val="ListBullet"/>
      </w:pPr>
      <w:r>
        <w:t>Analytical thinking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