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9488"/>
          <w:spacing w:val="30"/>
          <w:sz w:val="18"/>
          <w:szCs w:val="18"/>
        </w:rPr>
        <w:t xml:space="preserve">EYE-HEALTH ANALYTICS</w:t>
      </w:r>
    </w:p>
    <w:p>
      <w:pPr>
        <w:spacing w:after="60"/>
      </w:pPr>
      <w:r>
        <w:rPr>
          <w:b/>
          <w:bCs/>
          <w:color w:val="0F2A30"/>
          <w:sz w:val="44"/>
          <w:szCs w:val="44"/>
        </w:rPr>
        <w:t xml:space="preserve">Exploratory Report &amp; Data Story</w:t>
      </w:r>
    </w:p>
    <w:p>
      <w:pPr>
        <w:pBdr>
          <w:bottom w:val="single" w:color="0D9488" w:sz="8" w:space="8"/>
        </w:pBdr>
        <w:spacing w:after="40"/>
      </w:pPr>
      <w:r>
        <w:rPr>
          <w:color w:val="52696F"/>
          <w:sz w:val="22"/>
          <w:szCs w:val="22"/>
        </w:rPr>
        <w:t xml:space="preserve">Lifestyle, screen habits and vision across 10,000 respondents</w:t>
      </w:r>
    </w:p>
    <w:p>
      <w:pPr>
        <w:spacing w:after="200" w:before="120"/>
      </w:pPr>
      <w:r>
        <w:rPr>
          <w:color w:val="52696F"/>
          <w:sz w:val="18"/>
          <w:szCs w:val="18"/>
        </w:rPr>
        <w:t xml:space="preserve">Source: eye_score_cleaned.xlsx</w:t>
      </w:r>
      <w:r>
        <w:rPr>
          <w:color w:val="52696F"/>
          <w:sz w:val="18"/>
          <w:szCs w:val="18"/>
        </w:rPr>
        <w:t xml:space="preserve">    |    Companion file: index.html (interactive dashboard)</w:t>
      </w:r>
    </w:p>
    <w:p>
      <w:pPr>
        <w:pStyle w:val="Heading1"/>
      </w:pPr>
      <w:r>
        <w:t xml:space="preserve">1.  Dataset at a glance</w:t>
      </w:r>
    </w:p>
    <w:p>
      <w:pPr>
        <w:spacing w:after="140" w:line="300"/>
      </w:pPr>
      <w:r>
        <w:t xml:space="preserve">The analysis uses a pre-cleaned survey of </w:t>
      </w:r>
      <w:r>
        <w:rPr>
          <w:b/>
          <w:bCs/>
        </w:rPr>
        <w:t xml:space="preserve">10,000 respondents</w:t>
      </w:r>
      <w:r>
        <w:t xml:space="preserve"> described by 11 numeric attributes plus an ID. The cleaning log confirms the set is analysis-ready:</w:t>
      </w:r>
    </w:p>
    <w:p>
      <w:pPr>
        <w:pStyle w:val="ListParagraph"/>
        <w:numPr>
          <w:ilvl w:val="0"/>
          <w:numId w:val="2"/>
        </w:numPr>
      </w:pPr>
      <w:r>
        <w:t xml:space="preserve">0 missing values and 0 duplicate rows — no imputation required.</w:t>
      </w:r>
    </w:p>
    <w:p>
      <w:pPr>
        <w:pStyle w:val="ListParagraph"/>
        <w:numPr>
          <w:ilvl w:val="0"/>
          <w:numId w:val="2"/>
        </w:numPr>
      </w:pPr>
      <w:r>
        <w:t xml:space="preserve">Float columns standardised to 4 decimals; domain ranges verified (age 5–80, screen time 0–16 h, scores 0–100).</w:t>
      </w:r>
    </w:p>
    <w:p>
      <w:pPr>
        <w:pStyle w:val="ListParagraph"/>
        <w:numPr>
          <w:ilvl w:val="0"/>
          <w:numId w:val="2"/>
        </w:numPr>
      </w:pPr>
      <w:r>
        <w:t xml:space="preserve">Ceiling values (e.g. 300 records at the 16-hour screen-time cap) were retained as valid and are disclosed.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set carries no date and no geographic field</w:t>
      </w:r>
      <w:r>
        <w:t xml:space="preserve">, so the dashboard substitutes age / screen-time ranges for a date slider and a correlation heatmap for a map.</w:t>
      </w:r>
    </w:p>
    <w:p>
      <w:pPr>
        <w:spacing w:after="120" w:before="80"/>
      </w:pPr>
      <w:r>
        <w:t xml:space="preserve">The strongest linear relationships with the eye-health score are summarised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4200"/>
      </w:tblGrid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E2F1E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5E59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E2F1E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15E59"/>
                <w:sz w:val="20"/>
                <w:szCs w:val="20"/>
              </w:rPr>
              <w:t xml:space="preserve">Pearson r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E2F1E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5E59"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Glasses prescription level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EF6F53"/>
                <w:sz w:val="20"/>
                <w:szCs w:val="20"/>
              </w:rPr>
              <w:t xml:space="preserve">−0.56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Strongest driver; not modifiable</w:t>
            </w:r>
          </w:p>
        </w:tc>
      </w:tr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EF6F53"/>
                <w:sz w:val="20"/>
                <w:szCs w:val="20"/>
              </w:rPr>
              <w:t xml:space="preserve">−0.49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Steady life-course decline; not modifiable</w:t>
            </w:r>
          </w:p>
        </w:tc>
      </w:tr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Daily screen time (hrs)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EF6F53"/>
                <w:sz w:val="20"/>
                <w:szCs w:val="20"/>
              </w:rPr>
              <w:t xml:space="preserve">−0.49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Largest MODIFIABLE risk factor</w:t>
            </w:r>
          </w:p>
        </w:tc>
      </w:tr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Screen brightness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EF6F53"/>
                <w:sz w:val="20"/>
                <w:szCs w:val="20"/>
              </w:rPr>
              <w:t xml:space="preserve">−0.19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Minor negative association</w:t>
            </w:r>
          </w:p>
        </w:tc>
      </w:tr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Outdoor light exposure (hrs)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5E59"/>
                <w:sz w:val="20"/>
                <w:szCs w:val="20"/>
              </w:rPr>
              <w:t xml:space="preserve">+0.23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Protective; modifiable</w:t>
            </w:r>
          </w:p>
        </w:tc>
      </w:tr>
      <w:tr>
        <w:tc>
          <w:tcPr>
            <w:tcW w:type="dxa" w:w="336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Exercise (hrs)</w:t>
            </w:r>
          </w:p>
        </w:tc>
        <w:tc>
          <w:tcPr>
            <w:tcW w:type="dxa" w:w="18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5E59"/>
                <w:sz w:val="20"/>
                <w:szCs w:val="20"/>
              </w:rPr>
              <w:t xml:space="preserve">+0.24</w:t>
            </w:r>
          </w:p>
        </w:tc>
        <w:tc>
          <w:tcPr>
            <w:tcW w:type="dxa" w:w="4200"/>
            <w:tcBorders>
              <w:top w:val="single" w:color="DDE8E6" w:sz="1"/>
              <w:left w:val="single" w:color="DDE8E6" w:sz="1"/>
              <w:bottom w:val="single" w:color="DDE8E6" w:sz="1"/>
              <w:right w:val="single" w:color="DDE8E6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2A30"/>
                <w:sz w:val="20"/>
                <w:szCs w:val="20"/>
              </w:rPr>
              <w:t xml:space="preserve">Protective; modifiable</w:t>
            </w:r>
          </w:p>
        </w:tc>
      </w:tr>
    </w:tbl>
    <w:p>
      <w:pPr>
        <w:spacing w:after="240" w:before="60"/>
        <w:jc w:val="left"/>
      </w:pPr>
      <w:r>
        <w:rPr>
          <w:i/>
          <w:iCs/>
          <w:color w:val="52696F"/>
          <w:sz w:val="19"/>
          <w:szCs w:val="19"/>
        </w:rPr>
        <w:t xml:space="preserve">Table 1. Pearson correlation of each attribute with the eye-health score (n = 10,000). Negative = score falls as the factor rises.</w:t>
      </w:r>
    </w:p>
    <w:p>
      <w:pPr>
        <w:pStyle w:val="Heading1"/>
      </w:pPr>
      <w:r>
        <w:t xml:space="preserve">2.  Three exploratory charts</w:t>
      </w:r>
    </w:p>
    <w:p>
      <w:pPr>
        <w:pStyle w:val="Heading2"/>
      </w:pPr>
      <w:r>
        <w:t xml:space="preserve">2.1  Correlation</w:t>
      </w:r>
    </w:p>
    <w:p>
      <w:pPr>
        <w:spacing w:after="0" w:before="80"/>
        <w:jc w:val="center"/>
      </w:pPr>
      <w:r>
        <w:drawing>
          <wp:inline distT="0" distB="0" distL="0" distR="0">
            <wp:extent cx="5257800" cy="3409950"/>
            <wp:effectExtent t="0" r="0" b="0" l="0"/>
            <wp:docPr id="1" name="chart_correlation.png" descr="chart_correlation.png" title="chart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52696F"/>
          <w:sz w:val="19"/>
          <w:szCs w:val="19"/>
        </w:rPr>
        <w:t xml:space="preserve">Figure 1. Each point is one respondent; the coral line is an ordinary-least-squares fit. Eye-health scores decline as daily screen time rises (r = −0.49, p &lt; 0.001) — the clearest modifiable relationship in the data.</w:t>
      </w:r>
    </w:p>
    <w:p>
      <w:pPr>
        <w:pStyle w:val="Heading2"/>
      </w:pPr>
      <w:r>
        <w:t xml:space="preserve">2.2  Distribution</w:t>
      </w:r>
    </w:p>
    <w:p>
      <w:pPr>
        <w:spacing w:after="0" w:before="80"/>
        <w:jc w:val="center"/>
      </w:pPr>
      <w:r>
        <w:drawing>
          <wp:inline distT="0" distB="0" distL="0" distR="0">
            <wp:extent cx="5257800" cy="3409950"/>
            <wp:effectExtent t="0" r="0" b="0" l="0"/>
            <wp:docPr id="1" name="chart_distribution.png" descr="chart_distribution.png" title="char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52696F"/>
          <w:sz w:val="19"/>
          <w:szCs w:val="19"/>
        </w:rPr>
        <w:t xml:space="preserve">Figure 2. The eye-health score is roughly bell-shaped and centred on a mean of 65.3 (median 65.5), spanning 21.7 to the 100-point ceiling. Mean and median almost coincide, indicating little skew.</w:t>
      </w:r>
    </w:p>
    <w:p>
      <w:pPr>
        <w:pStyle w:val="Heading2"/>
      </w:pPr>
      <w:r>
        <w:t xml:space="preserve">2.3  Time-series / life-course trend</w:t>
      </w:r>
    </w:p>
    <w:p>
      <w:pPr>
        <w:spacing w:after="0" w:before="80"/>
        <w:jc w:val="center"/>
      </w:pPr>
      <w:r>
        <w:drawing>
          <wp:inline distT="0" distB="0" distL="0" distR="0">
            <wp:extent cx="5257800" cy="3409950"/>
            <wp:effectExtent t="0" r="0" b="0" l="0"/>
            <wp:docPr id="1" name="chart_trend.png" descr="chart_trend.png" title="chart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left"/>
      </w:pPr>
      <w:r>
        <w:rPr>
          <w:i/>
          <w:iCs/>
          <w:color w:val="52696F"/>
          <w:sz w:val="19"/>
          <w:szCs w:val="19"/>
        </w:rPr>
        <w:t xml:space="preserve">Figure 3. Mean eye-health score across age, used as a life-course timeline because the dataset has no date field. Scores fall steadily from ~75 in childhood to ~56 by age 80 (slope ≈ −0.27 points per year, r = −0.49).</w:t>
      </w:r>
    </w:p>
    <w:p>
      <w:pPr>
        <w:pStyle w:val="Heading1"/>
        <w:pageBreakBefore/>
      </w:pPr>
      <w:r>
        <w:t xml:space="preserve">3.  Data Story</w:t>
      </w:r>
    </w:p>
    <w:p>
      <w:pPr>
        <w:spacing w:after="120"/>
      </w:pPr>
      <w:r>
        <w:rPr>
          <w:b/>
          <w:bCs/>
          <w:color w:val="0F2A30"/>
          <w:sz w:val="24"/>
          <w:szCs w:val="24"/>
        </w:rPr>
        <w:t xml:space="preserve">What protects our eyes?  (286 words)</w:t>
      </w:r>
    </w:p>
    <w:p>
      <w:pPr>
        <w:spacing w:after="140" w:line="300"/>
      </w:pPr>
      <w:r>
        <w:t xml:space="preserve">Across 10,000 complete respondents (11 attributes, zero missing or duplicate rows), the average eye-health score sits at a moderate 65.3 out of 100, with most people clustered between the mid-50s and mid-70s. That headline average, however, hides who is at risk and why.</w:t>
      </w:r>
    </w:p>
    <w:p>
      <w:pPr>
        <w:spacing w:after="140" w:line="300"/>
      </w:pPr>
      <w:r>
        <w:rPr>
          <w:b/>
          <w:bCs/>
          <w:color w:val="115E59"/>
        </w:rPr>
        <w:t xml:space="preserve">Who this is for. </w:t>
      </w:r>
      <w:r>
        <w:t xml:space="preserve">The dashboard is built for digital-wellbeing and public-health communicators, and for the everyday screen user who wants to know which habits actually matter. It is exploratory, not clinical.</w:t>
      </w:r>
    </w:p>
    <w:p>
      <w:pPr>
        <w:spacing w:after="140" w:line="300"/>
      </w:pPr>
      <w:r>
        <w:rPr>
          <w:b/>
          <w:bCs/>
          <w:color w:val="115E59"/>
        </w:rPr>
        <w:t xml:space="preserve">The single most important insight. </w:t>
      </w:r>
      <w:r>
        <w:t xml:space="preserve">Eye-health is shaped by two kinds of forces. The strongest correlates — prescription level (r = -0.56) and age (r = -0.49) — are largely outside a person’s control: mean scores fall from 73.6 in the under-20s to 56.5 in the over-70s. The key takeaway is the largest modifiable factor: daily screen time (r = -0.49). Heavy-screen users score roughly 20 points lower than light users, while outdoor light (+0.23) and exercise (+0.24) pull scores back up. Age sets the baseline, but daily behaviour decides where you land on it — and screen time is the lever a user can actually pull.</w:t>
      </w:r>
    </w:p>
    <w:p>
      <w:pPr>
        <w:spacing w:after="140" w:line="300"/>
      </w:pPr>
      <w:r>
        <w:rPr>
          <w:b/>
          <w:bCs/>
          <w:color w:val="115E59"/>
        </w:rPr>
        <w:t xml:space="preserve">How bias was addressed. </w:t>
      </w:r>
      <w:r>
        <w:t xml:space="preserve">Because this is observational, cross-sectional data, every relationship is described as an association, never a cause. The dual-axis chart was deliberately re-based onto age, where both series genuinely move, rather than exaggerating a near-flat screen-time line through a stretched axis. Age stands in for a timeline only because the data carries no date field, and this is labelled openly. Distributions are shown in full, not just averages; group counts are always displayed; the ordinal glasses scale uses a single-hue sequence (not a rainbow) so order is not mistaken for category; and the 300 capped screen-time records are retained and disclosed.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8E6" w:sz="4" w:space="6"/>
      </w:pBdr>
      <w:jc w:val="center"/>
    </w:pPr>
    <w:r>
      <w:rPr>
        <w:color w:val="52696F"/>
        <w:sz w:val="16"/>
        <w:szCs w:val="16"/>
      </w:rPr>
      <w:t xml:space="preserve">Eye-Health Analytics  ·  exploratory report  ·  page </w:t>
    </w:r>
    <w:r>
      <w:rPr>
        <w:color w:val="5269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2A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15E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F2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4fbdc6e2f9ce0eee548ede7c438c954a431b58.png"/><Relationship Id="rId9" Type="http://schemas.openxmlformats.org/officeDocument/2006/relationships/image" Target="media/29ac3625f31ba3283b047b24ce169ec55bad7dba.png"/><Relationship Id="rId10" Type="http://schemas.openxmlformats.org/officeDocument/2006/relationships/image" Target="media/177944030bb09da76a97e56e0ee338555ed1d5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Eye-Health Analytics — Exploratory Report</dc:title>
  <dc:creator>Eye-Health Analytics</dc:creator>
  <cp:lastModifiedBy>Un-named</cp:lastModifiedBy>
  <cp:revision>1</cp:revision>
  <dcterms:created xsi:type="dcterms:W3CDTF">2026-06-28T19:08:08.490Z</dcterms:created>
  <dcterms:modified xsi:type="dcterms:W3CDTF">2026-06-28T19:08:08.504Z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