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Calibri" w:hAnsi="Calibri"/>
          <w:b/>
          <w:color w:val="1F4D78"/>
          <w:sz w:val="20"/>
        </w:rPr>
        <w:t>TECHNICAL REQUIREMENTS DOCUMENT</w:t>
      </w:r>
    </w:p>
    <w:p>
      <w:pPr>
        <w:spacing w:after="80"/>
      </w:pPr>
      <w:r>
        <w:rPr>
          <w:rFonts w:ascii="Calibri" w:hAnsi="Calibri"/>
          <w:b/>
          <w:color w:val="0B2545"/>
          <w:sz w:val="48"/>
        </w:rPr>
        <w:t>Gem &amp; Crystal Platform Architecture</w:t>
      </w:r>
    </w:p>
    <w:p>
      <w:pPr>
        <w:spacing w:after="300"/>
      </w:pPr>
      <w:r>
        <w:rPr>
          <w:rFonts w:ascii="Calibri" w:hAnsi="Calibri"/>
          <w:color w:val="5A6872"/>
          <w:sz w:val="26"/>
        </w:rPr>
        <w:t>Technical requirements for storefront, API, administration, POS, inventory and payments</w:t>
      </w:r>
    </w:p>
    <w:tbl>
      <w:tblPr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20"/>
              </w:rPr>
              <w:t>Product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20"/>
              </w:rPr>
              <w:t>Gem &amp; Crystal Fashion Hub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20"/>
              </w:rPr>
              <w:t>Scope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20"/>
              </w:rPr>
              <w:t>Storefront, API, admin dashboard, POS, inventory and payments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20"/>
              </w:rPr>
              <w:t>Version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20"/>
              </w:rPr>
              <w:t>1.0 — pre-launch baseline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20"/>
              </w:rPr>
              <w:t>Date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20"/>
              </w:rPr>
              <w:t>4 September 2026</w:t>
            </w:r>
          </w:p>
        </w:tc>
      </w:tr>
    </w:tbl>
    <w:p>
      <w:pPr>
        <w:pStyle w:val="Heading1"/>
      </w:pPr>
      <w:r>
        <w:t>1. Architecture overview</w:t>
      </w:r>
    </w:p>
    <w:p>
      <w:r>
        <w:rPr>
          <w:rFonts w:ascii="Calibri" w:hAnsi="Calibri"/>
          <w:color w:val="202124"/>
          <w:sz w:val="22"/>
        </w:rPr>
        <w:t>The system consists of independent React applications for the storefront, owner admin dashboard and physical-store POS, backed by one Express API and PostgreSQL database. The API is the authority for authentication, product data, inventory, orders, payments and POS sessions. Safaricom Daraja returns final M-Pesa results to a protected API callback; the API validates the result inside a database transaction, then writes a durable notification for the POS.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1800"/>
        <w:gridCol w:w="5160"/>
        <w:gridCol w:w="240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Component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Responsibility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Trust level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Storefront</w:t>
            </w:r>
          </w:p>
        </w:tc>
        <w:tc>
          <w:tcPr>
            <w:tcW w:type="dxa" w:w="51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Collect delivery and payer details; request checkout.</w:t>
            </w:r>
          </w:p>
        </w:tc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Untrusted client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Admin</w:t>
            </w:r>
          </w:p>
        </w:tc>
        <w:tc>
          <w:tcPr>
            <w:tcW w:type="dxa" w:w="51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Owner-only product, inventory, coupon, order and POS control.</w:t>
            </w:r>
          </w:p>
        </w:tc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Authenticated owner client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Dedicated POS / admin POS</w:t>
            </w:r>
          </w:p>
        </w:tc>
        <w:tc>
          <w:tcPr>
            <w:tcW w:type="dxa" w:w="51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Start counter sale; poll for confirmed payment alert.</w:t>
            </w:r>
          </w:p>
        </w:tc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Authenticated client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API</w:t>
            </w:r>
          </w:p>
        </w:tc>
        <w:tc>
          <w:tcPr>
            <w:tcW w:type="dxa" w:w="51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Price calculation, STK request, callback validation, status changes.</w:t>
            </w:r>
          </w:p>
        </w:tc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Payment authority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PostgreSQL</w:t>
            </w:r>
          </w:p>
        </w:tc>
        <w:tc>
          <w:tcPr>
            <w:tcW w:type="dxa" w:w="51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Orders, POS sales, inventory movements, notification queue, audit log.</w:t>
            </w:r>
          </w:p>
        </w:tc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System of record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Safaricom Daraja</w:t>
            </w:r>
          </w:p>
        </w:tc>
        <w:tc>
          <w:tcPr>
            <w:tcW w:type="dxa" w:w="51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M-Pesa prompt and callback result.</w:t>
            </w:r>
          </w:p>
        </w:tc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External provider</w:t>
            </w:r>
          </w:p>
        </w:tc>
      </w:tr>
    </w:tbl>
    <w:p>
      <w:pPr>
        <w:spacing w:after="60"/>
      </w:pPr>
    </w:p>
    <w:p>
      <w:pPr>
        <w:pStyle w:val="Heading1"/>
      </w:pPr>
      <w:r>
        <w:t>2. Core platform flows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Client submits product variant IDs, quantities, customer details and payer phone to the API.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API validates input, calculates authoritative prices/totals, reserves stock and creates PENDING record.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API requests an STK push from Daraja and stores CheckoutRequestID and MerchantRequestID.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Customer approves or cancels payment on their phone.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Daraja calls the public callback URL with the payment result.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API validates callback secret, request IDs, result code, amount, payer phone and receipt.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API updates payment status and creates one PaymentNotification record in the same transaction.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Authenticated POS polls notification endpoint every three seconds, receives alert once and shows popup.</w:t>
      </w:r>
    </w:p>
    <w:p>
      <w:pPr>
        <w:pStyle w:val="Heading1"/>
      </w:pPr>
      <w:r>
        <w:t>3. Catalogue, stock and access control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Product variants are the sellable unit. Each variant has an SKU, size, colour, price, optional sale price and stock quantity.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API calculates checkout and POS line prices from current database variants; clients send only IDs and quantities.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Stock updates use database conditions so stock cannot fall below zero during simultaneous sales.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InventoryMovement records every sale, failed-payment return and owner adjustment with an actor and reference.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Owner API routes require an owner JWT. Cashier POS sessions require a separate approved session token with an expiry.</w:t>
      </w:r>
    </w:p>
    <w:p>
      <w:pPr>
        <w:pStyle w:val="Heading1"/>
      </w:pPr>
      <w:r>
        <w:t>4. Data model requirements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1800"/>
        <w:gridCol w:w="4800"/>
        <w:gridCol w:w="27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Entity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Required fields / constraints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Purpose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Order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paymentStatus, mpesaReceipt UNIQUE, checkout/merchant request IDs UNIQUE, initiated timestamp</w:t>
            </w:r>
          </w:p>
        </w:tc>
        <w:tc>
          <w:tcPr>
            <w:tcW w:type="dxa" w:w="27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Online payment lifecycle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PosSale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paymentStatus, mpesaReceipt UNIQUE, checkout/merchant request IDs UNIQUE, initiated timestamp</w:t>
            </w:r>
          </w:p>
        </w:tc>
        <w:tc>
          <w:tcPr>
            <w:tcW w:type="dxa" w:w="27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Counter payment lifecycle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PaymentNotification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orderId or posSaleId UNIQUE; paymentReference UNIQUE; acknowledgedAt</w:t>
            </w:r>
          </w:p>
        </w:tc>
        <w:tc>
          <w:tcPr>
            <w:tcW w:type="dxa" w:w="27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Durable one-time POS alert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InventoryMovement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variant, quantity, previous/new stock, reference, actor</w:t>
            </w:r>
          </w:p>
        </w:tc>
        <w:tc>
          <w:tcPr>
            <w:tcW w:type="dxa" w:w="27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Audit stock reserve and release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AuditLog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action, details, timestamp, source IP</w:t>
            </w:r>
          </w:p>
        </w:tc>
        <w:tc>
          <w:tcPr>
            <w:tcW w:type="dxa" w:w="27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Operational and security audit</w:t>
            </w:r>
          </w:p>
        </w:tc>
      </w:tr>
    </w:tbl>
    <w:p>
      <w:pPr>
        <w:spacing w:after="60"/>
      </w:pPr>
    </w:p>
    <w:tbl>
      <w:tblPr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 xml:space="preserve">Transaction rule:  </w:t>
            </w:r>
            <w:r>
              <w:rPr>
                <w:rFonts w:ascii="Calibri" w:hAnsi="Calibri"/>
                <w:color w:val="202124"/>
                <w:sz w:val="20"/>
              </w:rPr>
              <w:t>Payment status, stock release and notification creation must be committed atomically. A callback retry must be safe at every point.</w:t>
            </w:r>
          </w:p>
        </w:tc>
      </w:tr>
    </w:tbl>
    <w:p>
      <w:pPr>
        <w:pStyle w:val="Heading1"/>
      </w:pPr>
      <w:r>
        <w:t>5. API requirements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3000"/>
        <w:gridCol w:w="2600"/>
        <w:gridCol w:w="37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Endpoint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Authentication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Behaviour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POST /api/orders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Public with rate limit</w:t>
            </w:r>
          </w:p>
        </w:tc>
        <w:tc>
          <w:tcPr>
            <w:tcW w:type="dxa" w:w="37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Creates pending online order; starts STK only when configured.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POST /api/pos/checkout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Active POS session bearer token</w:t>
            </w:r>
          </w:p>
        </w:tc>
        <w:tc>
          <w:tcPr>
            <w:tcW w:type="dxa" w:w="37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Calculates counter total server-side; starts STK for M-Pesa.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POST /api/orders/mpesa-callback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Callback secret query token + strict payload validation</w:t>
            </w:r>
          </w:p>
        </w:tc>
        <w:tc>
          <w:tcPr>
            <w:tcW w:type="dxa" w:w="37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Processes verified M-Pesa result; never trusts client data.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GET /api/pos/payment-notifications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Active POS session bearer token</w:t>
            </w:r>
          </w:p>
        </w:tc>
        <w:tc>
          <w:tcPr>
            <w:tcW w:type="dxa" w:w="37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Returns and acknowledges unacknowledged payment alerts.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GET /api/orders/:orderNumber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One-time tracking token</w:t>
            </w:r>
          </w:p>
        </w:tc>
        <w:tc>
          <w:tcPr>
            <w:tcW w:type="dxa" w:w="37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Returns customer order status without exposing other orders.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/api/products, /api/coupons, /api/settings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Public read / owner write as applicable</w:t>
            </w:r>
          </w:p>
        </w:tc>
        <w:tc>
          <w:tcPr>
            <w:tcW w:type="dxa" w:w="37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Catalogue, promotion and store configuration services.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/api/admin and protected owner routes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Owner bearer token</w:t>
            </w:r>
          </w:p>
        </w:tc>
        <w:tc>
          <w:tcPr>
            <w:tcW w:type="dxa" w:w="37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Administration, reporting, inventory and POS authorisation.</w:t>
            </w:r>
          </w:p>
        </w:tc>
      </w:tr>
    </w:tbl>
    <w:p>
      <w:pPr>
        <w:spacing w:after="60"/>
      </w:pPr>
    </w:p>
    <w:p>
      <w:pPr>
        <w:pStyle w:val="Heading1"/>
      </w:pPr>
      <w:r>
        <w:t>6. Callback validation rules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Reject callback unless M-Pesa integration is configured and the callback secret matches in constant time.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Accept only a strict, expected callback shape; reject malformed bodies.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Look up transaction by CheckoutRequestID and require matching MerchantRequestID.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For successful callbacks, require a valid receipt, exact order amount and normalized payer phone match.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Treat mismatches as review cases; do not mark paid or emit a POS alert.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Enforce unique receipt/request IDs so duplicate deliveries cannot pay twice.</w:t>
      </w:r>
    </w:p>
    <w:p>
      <w:pPr>
        <w:pStyle w:val="Heading1"/>
      </w:pPr>
      <w:r>
        <w:t>7. Failure and recovery behaviour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2400"/>
        <w:gridCol w:w="4400"/>
        <w:gridCol w:w="2560"/>
      </w:tblGrid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Situation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System response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Owner action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Customer cancels / provider reports failure</w:t>
            </w:r>
          </w:p>
        </w:tc>
        <w:tc>
          <w:tcPr>
            <w:tcW w:type="dxa" w:w="4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Mark FAILED; restore reserved stock once; write audit log.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Cashier may retry only with a new payment request.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Callback data mismatch</w:t>
            </w:r>
          </w:p>
        </w:tc>
        <w:tc>
          <w:tcPr>
            <w:tcW w:type="dxa" w:w="4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Leave payment PENDING; write review audit event; no alert.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Owner verifies against provider before manual resolution.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POS offline after confirmation</w:t>
            </w:r>
          </w:p>
        </w:tc>
        <w:tc>
          <w:tcPr>
            <w:tcW w:type="dxa" w:w="4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Keep notification unacknowledged in database.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POS receives popup when it reconnects.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Daraja unavailable before request starts</w:t>
            </w:r>
          </w:p>
        </w:tc>
        <w:tc>
          <w:tcPr>
            <w:tcW w:type="dxa" w:w="4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Keep pending record; do not claim payment success.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Owner reviews or retries using controlled process.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Duplicate callback</w:t>
            </w:r>
          </w:p>
        </w:tc>
        <w:tc>
          <w:tcPr>
            <w:tcW w:type="dxa" w:w="4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Detect PAID/unique receipt and return idempotent result.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No action required.</w:t>
            </w:r>
          </w:p>
        </w:tc>
      </w:tr>
    </w:tbl>
    <w:p>
      <w:pPr>
        <w:spacing w:after="60"/>
      </w:pPr>
    </w:p>
    <w:p>
      <w:pPr>
        <w:pStyle w:val="Heading1"/>
      </w:pPr>
      <w:r>
        <w:t>8. Security and configuration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Use HTTPS for production callback URL and restrict API CORS origins to deployed storefront/admin/POS domains.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Store MPESA_CONSUMER_KEY, MPESA_CONSUMER_SECRET, MPESA_PASSKEY and MPESA_CALLBACK_SECRET only in a secret manager.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Use independent strong secrets for JWT, POS sessions and M-Pesa callback verification.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Do not log credentials, callback secrets or full access tokens.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Rate-limit public checkout routes; cap payload sizes and validate every input with strict schemas.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Keep browser admin/POS tokens in memory and protect POS notification polling with an active session token.</w:t>
      </w:r>
    </w:p>
    <w:p>
      <w:pPr>
        <w:pStyle w:val="Heading1"/>
      </w:pPr>
      <w:r>
        <w:t>9. Required environment variables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3400"/>
        <w:gridCol w:w="2200"/>
        <w:gridCol w:w="3760"/>
      </w:tblGrid>
      <w:tr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Variable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Required in production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Purpose</w:t>
            </w:r>
          </w:p>
        </w:tc>
      </w:tr>
      <w:tr>
        <w:tc>
          <w:tcPr>
            <w:tcW w:type="dxa" w:w="3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MPESA_ENV</w:t>
            </w:r>
          </w:p>
        </w:tc>
        <w:tc>
          <w:tcPr>
            <w:tcW w:type="dxa" w:w="22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Yes</w:t>
            </w:r>
          </w:p>
        </w:tc>
        <w:tc>
          <w:tcPr>
            <w:tcW w:type="dxa" w:w="37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sandbox or production provider endpoint selection</w:t>
            </w:r>
          </w:p>
        </w:tc>
      </w:tr>
      <w:tr>
        <w:tc>
          <w:tcPr>
            <w:tcW w:type="dxa" w:w="3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MPESA_CONSUMER_KEY / MPESA_CONSUMER_SECRET</w:t>
            </w:r>
          </w:p>
        </w:tc>
        <w:tc>
          <w:tcPr>
            <w:tcW w:type="dxa" w:w="22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Yes</w:t>
            </w:r>
          </w:p>
        </w:tc>
        <w:tc>
          <w:tcPr>
            <w:tcW w:type="dxa" w:w="37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Daraja OAuth credentials</w:t>
            </w:r>
          </w:p>
        </w:tc>
      </w:tr>
      <w:tr>
        <w:tc>
          <w:tcPr>
            <w:tcW w:type="dxa" w:w="3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MPESA_SHORTCODE / MPESA_PASSKEY</w:t>
            </w:r>
          </w:p>
        </w:tc>
        <w:tc>
          <w:tcPr>
            <w:tcW w:type="dxa" w:w="22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Yes</w:t>
            </w:r>
          </w:p>
        </w:tc>
        <w:tc>
          <w:tcPr>
            <w:tcW w:type="dxa" w:w="37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STK request identity and password</w:t>
            </w:r>
          </w:p>
        </w:tc>
      </w:tr>
      <w:tr>
        <w:tc>
          <w:tcPr>
            <w:tcW w:type="dxa" w:w="3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MPESA_CALLBACK_URL</w:t>
            </w:r>
          </w:p>
        </w:tc>
        <w:tc>
          <w:tcPr>
            <w:tcW w:type="dxa" w:w="22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Yes</w:t>
            </w:r>
          </w:p>
        </w:tc>
        <w:tc>
          <w:tcPr>
            <w:tcW w:type="dxa" w:w="37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Public HTTPS callback endpoint</w:t>
            </w:r>
          </w:p>
        </w:tc>
      </w:tr>
      <w:tr>
        <w:tc>
          <w:tcPr>
            <w:tcW w:type="dxa" w:w="3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MPESA_CALLBACK_SECRET</w:t>
            </w:r>
          </w:p>
        </w:tc>
        <w:tc>
          <w:tcPr>
            <w:tcW w:type="dxa" w:w="22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Yes</w:t>
            </w:r>
          </w:p>
        </w:tc>
        <w:tc>
          <w:tcPr>
            <w:tcW w:type="dxa" w:w="37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Protect callback URL from unauthorised requests</w:t>
            </w:r>
          </w:p>
        </w:tc>
      </w:tr>
      <w:tr>
        <w:tc>
          <w:tcPr>
            <w:tcW w:type="dxa" w:w="34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DATABASE_URL, JWT_SECRET, POS_SESSION_SECRET</w:t>
            </w:r>
          </w:p>
        </w:tc>
        <w:tc>
          <w:tcPr>
            <w:tcW w:type="dxa" w:w="22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Yes</w:t>
            </w:r>
          </w:p>
        </w:tc>
        <w:tc>
          <w:tcPr>
            <w:tcW w:type="dxa" w:w="37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Data access and application sessions</w:t>
            </w:r>
          </w:p>
        </w:tc>
      </w:tr>
    </w:tbl>
    <w:p>
      <w:pPr>
        <w:spacing w:after="60"/>
      </w:pPr>
    </w:p>
    <w:p>
      <w:pPr>
        <w:pStyle w:val="Heading1"/>
      </w:pPr>
      <w:r>
        <w:t>10. Observability and operations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Log structured events for payment initiated, confirmed, failed, mismatch/review and notification delivered.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Monitor pending payments by age and alert owner if a payment remains pending beyond the agreed window.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Record audit entries for provider callback outcomes and manual owner status changes.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Back up PostgreSQL and protect migration/deployment history before launch.</w:t>
      </w:r>
    </w:p>
    <w:p>
      <w:pPr>
        <w:pStyle w:val="Heading1"/>
      </w:pPr>
      <w:r>
        <w:t>11. Test plan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4000"/>
        <w:gridCol w:w="5360"/>
      </w:tblGrid>
      <w:tr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Test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Expected result</w:t>
            </w:r>
          </w:p>
        </w:tc>
      </w:tr>
      <w:tr>
        <w:tc>
          <w:tcPr>
            <w:tcW w:type="dxa" w:w="40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Successful website payment callback</w:t>
            </w:r>
          </w:p>
        </w:tc>
        <w:tc>
          <w:tcPr>
            <w:tcW w:type="dxa" w:w="53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Order PAID, receipt stored, one POS popup notification.</w:t>
            </w:r>
          </w:p>
        </w:tc>
      </w:tr>
      <w:tr>
        <w:tc>
          <w:tcPr>
            <w:tcW w:type="dxa" w:w="40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Successful physical POS payment callback</w:t>
            </w:r>
          </w:p>
        </w:tc>
        <w:tc>
          <w:tcPr>
            <w:tcW w:type="dxa" w:w="53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Sale PAID, receipt stored, one POS popup notification.</w:t>
            </w:r>
          </w:p>
        </w:tc>
      </w:tr>
      <w:tr>
        <w:tc>
          <w:tcPr>
            <w:tcW w:type="dxa" w:w="40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Wrong request ID, amount or phone</w:t>
            </w:r>
          </w:p>
        </w:tc>
        <w:tc>
          <w:tcPr>
            <w:tcW w:type="dxa" w:w="53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Payment remains PENDING; audit entry created; no popup.</w:t>
            </w:r>
          </w:p>
        </w:tc>
      </w:tr>
      <w:tr>
        <w:tc>
          <w:tcPr>
            <w:tcW w:type="dxa" w:w="40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Cancelled callback</w:t>
            </w:r>
          </w:p>
        </w:tc>
        <w:tc>
          <w:tcPr>
            <w:tcW w:type="dxa" w:w="53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Payment FAILED and stock restored once.</w:t>
            </w:r>
          </w:p>
        </w:tc>
      </w:tr>
      <w:tr>
        <w:tc>
          <w:tcPr>
            <w:tcW w:type="dxa" w:w="40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Duplicate callback</w:t>
            </w:r>
          </w:p>
        </w:tc>
        <w:tc>
          <w:tcPr>
            <w:tcW w:type="dxa" w:w="53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No duplicate receipt, status update, stock movement or popup.</w:t>
            </w:r>
          </w:p>
        </w:tc>
      </w:tr>
      <w:tr>
        <w:tc>
          <w:tcPr>
            <w:tcW w:type="dxa" w:w="40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POS reconnect</w:t>
            </w:r>
          </w:p>
        </w:tc>
        <w:tc>
          <w:tcPr>
            <w:tcW w:type="dxa" w:w="53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Unacknowledged notification appears after authenticated reconnect.</w:t>
            </w:r>
          </w:p>
        </w:tc>
      </w:tr>
      <w:tr>
        <w:tc>
          <w:tcPr>
            <w:tcW w:type="dxa" w:w="40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No M-Pesa configuration</w:t>
            </w:r>
          </w:p>
        </w:tc>
        <w:tc>
          <w:tcPr>
            <w:tcW w:type="dxa" w:w="53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API reports unavailable; never reports payment as paid.</w:t>
            </w:r>
          </w:p>
        </w:tc>
      </w:tr>
      <w:tr>
        <w:tc>
          <w:tcPr>
            <w:tcW w:type="dxa" w:w="40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Concurrent web/POS stock request</w:t>
            </w:r>
          </w:p>
        </w:tc>
        <w:tc>
          <w:tcPr>
            <w:tcW w:type="dxa" w:w="53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One request fails cleanly when remaining stock is insufficient.</w:t>
            </w:r>
          </w:p>
        </w:tc>
      </w:tr>
      <w:tr>
        <w:tc>
          <w:tcPr>
            <w:tcW w:type="dxa" w:w="400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Unauthorised admin request</w:t>
            </w:r>
          </w:p>
        </w:tc>
        <w:tc>
          <w:tcPr>
            <w:tcW w:type="dxa" w:w="5360"/>
          </w:tcPr>
          <w:p>
            <w:pPr>
              <w:spacing w:after="0"/>
            </w:pPr>
            <w:r>
              <w:rPr>
                <w:rFonts w:ascii="Calibri" w:hAnsi="Calibri"/>
                <w:color w:val="202124"/>
                <w:sz w:val="18"/>
              </w:rPr>
              <w:t>API returns 401/403 without exposing protected records.</w:t>
            </w:r>
          </w:p>
        </w:tc>
      </w:tr>
    </w:tbl>
    <w:p>
      <w:pPr>
        <w:spacing w:after="60"/>
      </w:pPr>
    </w:p>
    <w:p>
      <w:pPr>
        <w:pStyle w:val="Heading1"/>
      </w:pPr>
      <w:r>
        <w:t>12. Deployment checklist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Create and test Daraja sandbox application; register the production callback URL during go-live.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Set production secrets through deployment configuration and confirm no secrets are committed.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Apply Prisma schema changes and take a database backup.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Deploy API before storefront/admin/POS builds.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Perform sandbox payment, cancellation, callback retry and reconnect tests.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Train cashiers: wait for the verified POS popup before handing over goods.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color w:val="202124"/>
          <w:sz w:val="22"/>
        </w:rPr>
        <w:t>Review payment and pending-order dashboard daily during launch week.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872"/>
        <w:sz w:val="16"/>
      </w:rPr>
      <w:t xml:space="preserve">Confidential — Internal planning document  |  Page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A6872"/>
        <w:sz w:val="16"/>
      </w:rPr>
      <w:t>GEM &amp; CRYSTAL FASHION HUB  |  TECHNICAL REQUIREMENTS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