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F4D78"/>
          <w:sz w:val="20"/>
        </w:rPr>
        <w:t>PRODUCT REQUIREMENTS DOCUMENT</w:t>
      </w:r>
    </w:p>
    <w:p>
      <w:pPr>
        <w:spacing w:after="80"/>
      </w:pPr>
      <w:r>
        <w:rPr>
          <w:rFonts w:ascii="Calibri" w:hAnsi="Calibri"/>
          <w:b/>
          <w:color w:val="0B2545"/>
          <w:sz w:val="48"/>
        </w:rPr>
        <w:t>Gem &amp; Crystal Fashion Hub Platform</w:t>
      </w:r>
    </w:p>
    <w:p>
      <w:pPr>
        <w:spacing w:after="300"/>
      </w:pPr>
      <w:r>
        <w:rPr>
          <w:rFonts w:ascii="Calibri" w:hAnsi="Calibri"/>
          <w:color w:val="5A6872"/>
          <w:sz w:val="26"/>
        </w:rPr>
        <w:t>Product requirements for the storefront, API, admin, POS and verified payments</w:t>
      </w:r>
    </w:p>
    <w:tbl>
      <w:tblPr>
        <w:tblW w:type="dxa" w:w="9360"/>
        <w:tblLook w:firstColumn="1" w:firstRow="1" w:lastColumn="0" w:lastRow="0" w:noHBand="0" w:noVBand="1" w:val="04A0"/>
        <w:tblInd w:w="120" w:type="dxa"/>
        <w:tblLayout w:type="fixed"/>
      </w:tblPr>
      <w:tblGrid>
        <w:gridCol w:w="1800"/>
        <w:gridCol w:w="7560"/>
      </w:tblGrid>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Product</w:t>
            </w:r>
          </w:p>
        </w:tc>
        <w:tc>
          <w:tcPr>
            <w:tcW w:type="dxa" w:w="7560"/>
            <w:tcMar>
              <w:top w:w="80" w:type="dxa"/>
              <w:start w:w="120" w:type="dxa"/>
              <w:bottom w:w="80" w:type="dxa"/>
              <w:end w:w="120" w:type="dxa"/>
            </w:tcMar>
            <w:vAlign w:val="center"/>
          </w:tcPr>
          <w:p>
            <w:pPr>
              <w:spacing w:after="0"/>
            </w:pPr>
            <w:r>
              <w:rPr>
                <w:rFonts w:ascii="Calibri" w:hAnsi="Calibri"/>
                <w:color w:val="202124"/>
                <w:sz w:val="20"/>
              </w:rPr>
              <w:t>Gem &amp; Crystal Fashion Hub</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Scope</w:t>
            </w:r>
          </w:p>
        </w:tc>
        <w:tc>
          <w:tcPr>
            <w:tcW w:type="dxa" w:w="7560"/>
            <w:tcMar>
              <w:top w:w="80" w:type="dxa"/>
              <w:start w:w="120" w:type="dxa"/>
              <w:bottom w:w="80" w:type="dxa"/>
              <w:end w:w="120" w:type="dxa"/>
            </w:tcMar>
            <w:vAlign w:val="center"/>
          </w:tcPr>
          <w:p>
            <w:pPr>
              <w:spacing w:after="0"/>
            </w:pPr>
            <w:r>
              <w:rPr>
                <w:rFonts w:ascii="Calibri" w:hAnsi="Calibri"/>
                <w:color w:val="202124"/>
                <w:sz w:val="20"/>
              </w:rPr>
              <w:t>Storefront, API, admin dashboard, POS, inventory and payments</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Version</w:t>
            </w:r>
          </w:p>
        </w:tc>
        <w:tc>
          <w:tcPr>
            <w:tcW w:type="dxa" w:w="7560"/>
            <w:tcMar>
              <w:top w:w="80" w:type="dxa"/>
              <w:start w:w="120" w:type="dxa"/>
              <w:bottom w:w="80" w:type="dxa"/>
              <w:end w:w="120" w:type="dxa"/>
            </w:tcMar>
            <w:vAlign w:val="center"/>
          </w:tcPr>
          <w:p>
            <w:r>
              <w:t>1.1 - storefront experience update</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20"/>
              </w:rPr>
              <w:t>Date</w:t>
            </w:r>
          </w:p>
        </w:tc>
        <w:tc>
          <w:tcPr>
            <w:tcW w:type="dxa" w:w="7560"/>
            <w:tcMar>
              <w:top w:w="80" w:type="dxa"/>
              <w:start w:w="120" w:type="dxa"/>
              <w:bottom w:w="80" w:type="dxa"/>
              <w:end w:w="120" w:type="dxa"/>
            </w:tcMar>
            <w:vAlign w:val="center"/>
          </w:tcPr>
          <w:p>
            <w:r>
              <w:t>8 October 2026</w:t>
            </w:r>
          </w:p>
        </w:tc>
      </w:tr>
    </w:tbl>
    <w:p>
      <w:pPr>
        <w:pStyle w:val="Heading1"/>
      </w:pPr>
      <w:r>
        <w:t>1. Product summary</w:t>
      </w:r>
    </w:p>
    <w:p>
      <w:r>
        <w:rPr>
          <w:rFonts w:ascii="Calibri" w:hAnsi="Calibri"/>
          <w:color w:val="202124"/>
          <w:sz w:val="22"/>
        </w:rPr>
        <w:t>Gem &amp; Crystal Fashion Hub is a unified fashion-commerce platform for a customer website and a physical shop. It includes catalogue browsing, variant-level inventory, online checkout, owner administration, cashier POS, and a shared API with PostgreSQL as the system of record.</w:t>
      </w:r>
    </w:p>
    <w:tbl>
      <w:tblPr>
        <w:tblW w:type="dxa" w:w="9360"/>
        <w:tblLook w:firstColumn="1" w:firstRow="1" w:lastColumn="0" w:lastRow="0" w:noHBand="0" w:noVBand="1" w:val="04A0"/>
        <w:tblInd w:w="120" w:type="dxa"/>
        <w:tblLayout w:type="fixed"/>
      </w:tblPr>
      <w:tblGrid>
        <w:gridCol w:w="9360"/>
      </w:tblGrid>
      <w:tr>
        <w:tc>
          <w:tcPr>
            <w:tcW w:type="dxa" w:w="9360"/>
            <w:tcMar>
              <w:top w:w="80" w:type="dxa"/>
              <w:start w:w="120" w:type="dxa"/>
              <w:bottom w:w="80" w:type="dxa"/>
              <w:end w:w="120" w:type="dxa"/>
            </w:tcMar>
            <w:vAlign w:val="center"/>
            <w:shd w:fill="F4F6F9"/>
          </w:tcPr>
          <w:p>
            <w:pPr>
              <w:spacing w:after="0"/>
            </w:pPr>
            <w:r>
              <w:rPr>
                <w:rFonts w:ascii="Calibri" w:hAnsi="Calibri"/>
                <w:b/>
                <w:color w:val="1F4D78"/>
                <w:sz w:val="20"/>
              </w:rPr>
              <w:t xml:space="preserve">Product principle:  </w:t>
            </w:r>
            <w:r>
              <w:rPr>
                <w:rFonts w:ascii="Calibri" w:hAnsi="Calibri"/>
                <w:color w:val="202124"/>
                <w:sz w:val="20"/>
              </w:rPr>
              <w:t>One source of truth for products, stock, orders and payments. No customer screen, cashier action, or manually typed receipt can mark an order as paid.</w:t>
            </w:r>
          </w:p>
        </w:tc>
      </w:tr>
    </w:tbl>
    <w:p>
      <w:pPr>
        <w:pStyle w:val="Heading1"/>
      </w:pPr>
      <w:r>
        <w:t>2. Problem and opportunity</w:t>
      </w:r>
    </w:p>
    <w:p>
      <w:r>
        <w:rPr>
          <w:rFonts w:ascii="Calibri" w:hAnsi="Calibri"/>
          <w:color w:val="202124"/>
          <w:sz w:val="22"/>
        </w:rPr>
        <w:t>The shop needs a smooth customer journey and a trusted operational view. Without shared stock and payments, staff can oversell items, miss website payments, accept an unverified message, or waste time reconciling separate systems. The platform creates one operational flow while keeping customer checkout straightforward.</w:t>
      </w:r>
    </w:p>
    <w:p>
      <w:pPr>
        <w:pStyle w:val="Heading1"/>
      </w:pPr>
      <w:r>
        <w:t>3. Platform scope</w:t>
      </w:r>
    </w:p>
    <w:tbl>
      <w:tblPr>
        <w:tblStyle w:val="TableGrid"/>
        <w:tblW w:type="dxa" w:w="9360"/>
        <w:tblLook w:firstColumn="1" w:firstRow="1" w:lastColumn="0" w:lastRow="0" w:noHBand="0" w:noVBand="1" w:val="04A0"/>
        <w:tblInd w:w="120" w:type="dxa"/>
        <w:tblLayout w:type="fixed"/>
      </w:tblPr>
      <w:tblGrid>
        <w:gridCol w:w="1800"/>
        <w:gridCol w:w="4860"/>
        <w:gridCol w:w="2700"/>
      </w:tblGrid>
      <w:tr>
        <w:tc>
          <w:tcPr>
            <w:tcW w:type="dxa" w:w="1800"/>
            <w:tcMar>
              <w:top w:w="80" w:type="dxa"/>
              <w:start w:w="120" w:type="dxa"/>
              <w:bottom w:w="80" w:type="dxa"/>
              <w:end w:w="120" w:type="dxa"/>
            </w:tcMar>
            <w:vAlign w:val="center"/>
            <w:shd w:fill="F2F4F7"/>
          </w:tcPr>
          <w:p>
            <w:pPr>
              <w:spacing w:after="0"/>
            </w:pPr>
            <w:r>
              <w:rPr>
                <w:rFonts w:ascii="Calibri" w:hAnsi="Calibri"/>
                <w:b/>
                <w:color w:val="0B2545"/>
                <w:sz w:val="18"/>
              </w:rPr>
              <w:t>Area</w:t>
            </w:r>
          </w:p>
        </w:tc>
        <w:tc>
          <w:tcPr>
            <w:tcW w:type="dxa" w:w="4860"/>
            <w:tcMar>
              <w:top w:w="80" w:type="dxa"/>
              <w:start w:w="120" w:type="dxa"/>
              <w:bottom w:w="80" w:type="dxa"/>
              <w:end w:w="120" w:type="dxa"/>
            </w:tcMar>
            <w:vAlign w:val="center"/>
            <w:shd w:fill="F2F4F7"/>
          </w:tcPr>
          <w:p>
            <w:pPr>
              <w:spacing w:after="0"/>
            </w:pPr>
            <w:r>
              <w:rPr>
                <w:rFonts w:ascii="Calibri" w:hAnsi="Calibri"/>
                <w:b/>
                <w:color w:val="0B2545"/>
                <w:sz w:val="18"/>
              </w:rPr>
              <w:t>Customer or staff outcome</w:t>
            </w:r>
          </w:p>
        </w:tc>
        <w:tc>
          <w:tcPr>
            <w:tcW w:type="dxa" w:w="2700"/>
            <w:tcMar>
              <w:top w:w="80" w:type="dxa"/>
              <w:start w:w="120" w:type="dxa"/>
              <w:bottom w:w="80" w:type="dxa"/>
              <w:end w:w="120" w:type="dxa"/>
            </w:tcMar>
            <w:vAlign w:val="center"/>
            <w:shd w:fill="F2F4F7"/>
          </w:tcPr>
          <w:p>
            <w:pPr>
              <w:spacing w:after="0"/>
            </w:pPr>
            <w:r>
              <w:rPr>
                <w:rFonts w:ascii="Calibri" w:hAnsi="Calibri"/>
                <w:b/>
                <w:color w:val="0B2545"/>
                <w:sz w:val="18"/>
              </w:rPr>
              <w:t>Primary application</w:t>
            </w:r>
          </w:p>
        </w:tc>
      </w:tr>
      <w:tr>
        <w:tc>
          <w:tcPr>
            <w:tcW w:type="dxa" w:w="1800"/>
          </w:tcPr>
          <w:p>
            <w:pPr>
              <w:spacing w:after="0"/>
            </w:pPr>
            <w:r>
              <w:rPr>
                <w:rFonts w:ascii="Calibri" w:hAnsi="Calibri"/>
                <w:color w:val="202124"/>
                <w:sz w:val="18"/>
              </w:rPr>
              <w:t>Storefront</w:t>
            </w:r>
          </w:p>
        </w:tc>
        <w:tc>
          <w:tcPr>
            <w:tcW w:type="dxa" w:w="4860"/>
          </w:tcPr>
          <w:p>
            <w:pPr>
              <w:spacing w:after="0"/>
            </w:pPr>
            <w:r>
              <w:rPr>
                <w:rFonts w:ascii="Calibri" w:hAnsi="Calibri"/>
                <w:color w:val="202124"/>
                <w:sz w:val="18"/>
              </w:rPr>
              <w:t>Browse products, select variants, apply coupons and place an order.</w:t>
            </w:r>
          </w:p>
        </w:tc>
        <w:tc>
          <w:tcPr>
            <w:tcW w:type="dxa" w:w="2700"/>
          </w:tcPr>
          <w:p>
            <w:pPr>
              <w:spacing w:after="0"/>
            </w:pPr>
            <w:r>
              <w:rPr>
                <w:rFonts w:ascii="Calibri" w:hAnsi="Calibri"/>
                <w:color w:val="202124"/>
                <w:sz w:val="18"/>
              </w:rPr>
              <w:t>Customer website</w:t>
            </w:r>
          </w:p>
        </w:tc>
      </w:tr>
      <w:tr>
        <w:tc>
          <w:tcPr>
            <w:tcW w:type="dxa" w:w="1800"/>
          </w:tcPr>
          <w:p>
            <w:pPr>
              <w:spacing w:after="0"/>
            </w:pPr>
            <w:r>
              <w:rPr>
                <w:rFonts w:ascii="Calibri" w:hAnsi="Calibri"/>
                <w:color w:val="202124"/>
                <w:sz w:val="18"/>
              </w:rPr>
              <w:t>Catalogue &amp; inventory</w:t>
            </w:r>
          </w:p>
        </w:tc>
        <w:tc>
          <w:tcPr>
            <w:tcW w:type="dxa" w:w="4860"/>
          </w:tcPr>
          <w:p>
            <w:pPr>
              <w:spacing w:after="0"/>
            </w:pPr>
            <w:r>
              <w:rPr>
                <w:rFonts w:ascii="Calibri" w:hAnsi="Calibri"/>
                <w:color w:val="202124"/>
                <w:sz w:val="18"/>
              </w:rPr>
              <w:t>Accurate variant prices and stock across all channels.</w:t>
            </w:r>
          </w:p>
        </w:tc>
        <w:tc>
          <w:tcPr>
            <w:tcW w:type="dxa" w:w="2700"/>
          </w:tcPr>
          <w:p>
            <w:pPr>
              <w:spacing w:after="0"/>
            </w:pPr>
            <w:r>
              <w:rPr>
                <w:rFonts w:ascii="Calibri" w:hAnsi="Calibri"/>
                <w:color w:val="202124"/>
                <w:sz w:val="18"/>
              </w:rPr>
              <w:t>API + Admin</w:t>
            </w:r>
          </w:p>
        </w:tc>
      </w:tr>
      <w:tr>
        <w:tc>
          <w:tcPr>
            <w:tcW w:type="dxa" w:w="1800"/>
          </w:tcPr>
          <w:p>
            <w:pPr>
              <w:spacing w:after="0"/>
            </w:pPr>
            <w:r>
              <w:rPr>
                <w:rFonts w:ascii="Calibri" w:hAnsi="Calibri"/>
                <w:color w:val="202124"/>
                <w:sz w:val="18"/>
              </w:rPr>
              <w:t>Admin</w:t>
            </w:r>
          </w:p>
        </w:tc>
        <w:tc>
          <w:tcPr>
            <w:tcW w:type="dxa" w:w="4860"/>
          </w:tcPr>
          <w:p>
            <w:pPr>
              <w:spacing w:after="0"/>
            </w:pPr>
            <w:r>
              <w:rPr>
                <w:rFonts w:ascii="Calibri" w:hAnsi="Calibri"/>
                <w:color w:val="202124"/>
                <w:sz w:val="18"/>
              </w:rPr>
              <w:t>Owner manages products, coupons, orders, stock and POS access.</w:t>
            </w:r>
          </w:p>
        </w:tc>
        <w:tc>
          <w:tcPr>
            <w:tcW w:type="dxa" w:w="2700"/>
          </w:tcPr>
          <w:p>
            <w:pPr>
              <w:spacing w:after="0"/>
            </w:pPr>
            <w:r>
              <w:rPr>
                <w:rFonts w:ascii="Calibri" w:hAnsi="Calibri"/>
                <w:color w:val="202124"/>
                <w:sz w:val="18"/>
              </w:rPr>
              <w:t>Admin dashboard</w:t>
            </w:r>
          </w:p>
        </w:tc>
      </w:tr>
      <w:tr>
        <w:tc>
          <w:tcPr>
            <w:tcW w:type="dxa" w:w="1800"/>
          </w:tcPr>
          <w:p>
            <w:pPr>
              <w:spacing w:after="0"/>
            </w:pPr>
            <w:r>
              <w:rPr>
                <w:rFonts w:ascii="Calibri" w:hAnsi="Calibri"/>
                <w:color w:val="202124"/>
                <w:sz w:val="18"/>
              </w:rPr>
              <w:t>POS</w:t>
            </w:r>
          </w:p>
        </w:tc>
        <w:tc>
          <w:tcPr>
            <w:tcW w:type="dxa" w:w="4860"/>
          </w:tcPr>
          <w:p>
            <w:pPr>
              <w:spacing w:after="0"/>
            </w:pPr>
            <w:r>
              <w:rPr>
                <w:rFonts w:ascii="Calibri" w:hAnsi="Calibri"/>
                <w:color w:val="202124"/>
                <w:sz w:val="18"/>
              </w:rPr>
              <w:t>Cashier scans or selects items, takes payment and completes in-store sales.</w:t>
            </w:r>
          </w:p>
        </w:tc>
        <w:tc>
          <w:tcPr>
            <w:tcW w:type="dxa" w:w="2700"/>
          </w:tcPr>
          <w:p>
            <w:pPr>
              <w:spacing w:after="0"/>
            </w:pPr>
            <w:r>
              <w:rPr>
                <w:rFonts w:ascii="Calibri" w:hAnsi="Calibri"/>
                <w:color w:val="202124"/>
                <w:sz w:val="18"/>
              </w:rPr>
              <w:t>Dedicated POS</w:t>
            </w:r>
          </w:p>
        </w:tc>
      </w:tr>
      <w:tr>
        <w:tc>
          <w:tcPr>
            <w:tcW w:type="dxa" w:w="1800"/>
          </w:tcPr>
          <w:p>
            <w:pPr>
              <w:spacing w:after="0"/>
            </w:pPr>
            <w:r>
              <w:rPr>
                <w:rFonts w:ascii="Calibri" w:hAnsi="Calibri"/>
                <w:color w:val="202124"/>
                <w:sz w:val="18"/>
              </w:rPr>
              <w:t>Payments</w:t>
            </w:r>
          </w:p>
        </w:tc>
        <w:tc>
          <w:tcPr>
            <w:tcW w:type="dxa" w:w="4860"/>
          </w:tcPr>
          <w:p>
            <w:pPr>
              <w:spacing w:after="0"/>
            </w:pPr>
            <w:r>
              <w:rPr>
                <w:rFonts w:ascii="Calibri" w:hAnsi="Calibri"/>
                <w:color w:val="202124"/>
                <w:sz w:val="18"/>
              </w:rPr>
              <w:t>M-Pesa payments are confirmed by the backend and visible in POS.</w:t>
            </w:r>
          </w:p>
        </w:tc>
        <w:tc>
          <w:tcPr>
            <w:tcW w:type="dxa" w:w="2700"/>
          </w:tcPr>
          <w:p>
            <w:pPr>
              <w:spacing w:after="0"/>
            </w:pPr>
            <w:r>
              <w:rPr>
                <w:rFonts w:ascii="Calibri" w:hAnsi="Calibri"/>
                <w:color w:val="202124"/>
                <w:sz w:val="18"/>
              </w:rPr>
              <w:t>API + POS</w:t>
            </w:r>
          </w:p>
        </w:tc>
      </w:tr>
    </w:tbl>
    <w:p>
      <w:pPr>
        <w:spacing w:after="60"/>
      </w:pPr>
    </w:p>
    <w:p>
      <w:pPr>
        <w:pStyle w:val="Heading1"/>
      </w:pPr>
      <w:r>
        <w:t>4. Goals</w:t>
      </w:r>
    </w:p>
    <w:p>
      <w:pPr>
        <w:pStyle w:val="ListBullet"/>
        <w:spacing w:after="80" w:line="280" w:lineRule="auto"/>
        <w:ind w:left="720" w:hanging="360"/>
      </w:pPr>
      <w:r>
        <w:rPr>
          <w:rFonts w:ascii="Calibri" w:hAnsi="Calibri"/>
          <w:color w:val="202124"/>
          <w:sz w:val="22"/>
        </w:rPr>
        <w:t>Send an M-Pesa payment prompt for eligible website orders and in-store sales.</w:t>
      </w:r>
    </w:p>
    <w:p>
      <w:pPr>
        <w:pStyle w:val="ListBullet"/>
        <w:spacing w:after="80" w:line="280" w:lineRule="auto"/>
        <w:ind w:left="720" w:hanging="360"/>
      </w:pPr>
      <w:r>
        <w:rPr>
          <w:rFonts w:ascii="Calibri" w:hAnsi="Calibri"/>
          <w:color w:val="202124"/>
          <w:sz w:val="22"/>
        </w:rPr>
        <w:t>Show an automatic POS popup only after backend verification succeeds.</w:t>
      </w:r>
    </w:p>
    <w:p>
      <w:pPr>
        <w:pStyle w:val="ListBullet"/>
        <w:spacing w:after="80" w:line="280" w:lineRule="auto"/>
        <w:ind w:left="720" w:hanging="360"/>
      </w:pPr>
      <w:r>
        <w:rPr>
          <w:rFonts w:ascii="Calibri" w:hAnsi="Calibri"/>
          <w:color w:val="202124"/>
          <w:sz w:val="22"/>
        </w:rPr>
        <w:t>Display the payment reference, amount, customer and M-Pesa receipt clearly.</w:t>
      </w:r>
    </w:p>
    <w:p>
      <w:pPr>
        <w:pStyle w:val="ListBullet"/>
        <w:spacing w:after="80" w:line="280" w:lineRule="auto"/>
        <w:ind w:left="720" w:hanging="360"/>
      </w:pPr>
      <w:r>
        <w:rPr>
          <w:rFonts w:ascii="Calibri" w:hAnsi="Calibri"/>
          <w:color w:val="202124"/>
          <w:sz w:val="22"/>
        </w:rPr>
        <w:t>Prevent duplicate payment popups when M-Pesa retries a callback or the POS reconnects.</w:t>
      </w:r>
    </w:p>
    <w:p>
      <w:pPr>
        <w:pStyle w:val="ListBullet"/>
        <w:spacing w:after="80" w:line="280" w:lineRule="auto"/>
        <w:ind w:left="720" w:hanging="360"/>
      </w:pPr>
      <w:r>
        <w:rPr>
          <w:rFonts w:ascii="Calibri" w:hAnsi="Calibri"/>
          <w:color w:val="202124"/>
          <w:sz w:val="22"/>
        </w:rPr>
        <w:t>Keep stock and payment status correct when a payment is cancelled or fails.</w:t>
      </w:r>
    </w:p>
    <w:p>
      <w:pPr>
        <w:pStyle w:val="ListBullet"/>
        <w:spacing w:after="80" w:line="280" w:lineRule="auto"/>
        <w:ind w:left="720" w:hanging="360"/>
      </w:pPr>
      <w:r>
        <w:rPr>
          <w:rFonts w:ascii="Calibri" w:hAnsi="Calibri"/>
          <w:color w:val="202124"/>
          <w:sz w:val="22"/>
        </w:rPr>
        <w:t>Give the owner a usable admin workspace for product, inventory, coupon, order and POS control.</w:t>
      </w:r>
    </w:p>
    <w:p>
      <w:pPr>
        <w:pStyle w:val="ListBullet"/>
        <w:spacing w:after="80" w:line="280" w:lineRule="auto"/>
        <w:ind w:left="720" w:hanging="360"/>
      </w:pPr>
      <w:r>
        <w:rPr>
          <w:rFonts w:ascii="Calibri" w:hAnsi="Calibri"/>
          <w:color w:val="202124"/>
          <w:sz w:val="22"/>
        </w:rPr>
        <w:t>Use the same database records for web orders and physical-store stock movements.</w:t>
      </w:r>
    </w:p>
    <w:p>
      <w:pPr>
        <w:pStyle w:val="Heading1"/>
      </w:pPr>
      <w:r>
        <w:t>5. Non-goals</w:t>
      </w:r>
    </w:p>
    <w:p>
      <w:pPr>
        <w:pStyle w:val="ListBullet"/>
        <w:spacing w:after="80" w:line="280" w:lineRule="auto"/>
        <w:ind w:left="720" w:hanging="360"/>
      </w:pPr>
      <w:r>
        <w:rPr>
          <w:rFonts w:ascii="Calibri" w:hAnsi="Calibri"/>
          <w:color w:val="202124"/>
          <w:sz w:val="22"/>
        </w:rPr>
        <w:t>Accepting card payments or storing card details.</w:t>
      </w:r>
    </w:p>
    <w:p>
      <w:pPr>
        <w:pStyle w:val="ListBullet"/>
        <w:spacing w:after="80" w:line="280" w:lineRule="auto"/>
        <w:ind w:left="720" w:hanging="360"/>
      </w:pPr>
      <w:r>
        <w:rPr>
          <w:rFonts w:ascii="Calibri" w:hAnsi="Calibri"/>
          <w:color w:val="202124"/>
          <w:sz w:val="22"/>
        </w:rPr>
        <w:t>Treating a customer-entered M-Pesa receipt as proof of payment.</w:t>
      </w:r>
    </w:p>
    <w:p>
      <w:pPr>
        <w:pStyle w:val="ListBullet"/>
        <w:spacing w:after="80" w:line="280" w:lineRule="auto"/>
        <w:ind w:left="720" w:hanging="360"/>
      </w:pPr>
      <w:r>
        <w:rPr>
          <w:rFonts w:ascii="Calibri" w:hAnsi="Calibri"/>
          <w:color w:val="202124"/>
          <w:sz w:val="22"/>
        </w:rPr>
        <w:t>Replacing the Safaricom Daraja account, merchant onboarding, or settlement process.</w:t>
      </w:r>
    </w:p>
    <w:p>
      <w:pPr>
        <w:pStyle w:val="ListBullet"/>
        <w:spacing w:after="80" w:line="280" w:lineRule="auto"/>
        <w:ind w:left="720" w:hanging="360"/>
      </w:pPr>
      <w:r>
        <w:rPr>
          <w:rFonts w:ascii="Calibri" w:hAnsi="Calibri"/>
          <w:color w:val="202124"/>
          <w:sz w:val="22"/>
        </w:rPr>
        <w:t>Building a customer-facing order-tracking portal beyond the existing order confirmation flow.</w:t>
      </w:r>
    </w:p>
    <w:p>
      <w:pPr>
        <w:pStyle w:val="Heading1"/>
      </w:pPr>
      <w:r>
        <w:t>6. Users and key journeys</w:t>
      </w:r>
    </w:p>
    <w:tbl>
      <w:tblPr>
        <w:tblStyle w:val="TableGrid"/>
        <w:tblW w:type="dxa" w:w="9360"/>
        <w:tblLook w:firstColumn="1" w:firstRow="1" w:lastColumn="0" w:lastRow="0" w:noHBand="0" w:noVBand="1" w:val="04A0"/>
        <w:tblInd w:w="120" w:type="dxa"/>
        <w:tblLayout w:type="fixed"/>
      </w:tblPr>
      <w:tblGrid>
        <w:gridCol w:w="1550"/>
        <w:gridCol w:w="3250"/>
        <w:gridCol w:w="4560"/>
      </w:tblGrid>
      <w:tr>
        <w:tc>
          <w:tcPr>
            <w:tcW w:type="dxa" w:w="1550"/>
            <w:tcMar>
              <w:top w:w="80" w:type="dxa"/>
              <w:start w:w="120" w:type="dxa"/>
              <w:bottom w:w="80" w:type="dxa"/>
              <w:end w:w="120" w:type="dxa"/>
            </w:tcMar>
            <w:vAlign w:val="center"/>
            <w:shd w:fill="F2F4F7"/>
          </w:tcPr>
          <w:p>
            <w:pPr>
              <w:spacing w:after="0"/>
            </w:pPr>
            <w:r>
              <w:rPr>
                <w:rFonts w:ascii="Calibri" w:hAnsi="Calibri"/>
                <w:b/>
                <w:color w:val="0B2545"/>
                <w:sz w:val="18"/>
              </w:rPr>
              <w:t>User</w:t>
            </w:r>
          </w:p>
        </w:tc>
        <w:tc>
          <w:tcPr>
            <w:tcW w:type="dxa" w:w="3250"/>
            <w:tcMar>
              <w:top w:w="80" w:type="dxa"/>
              <w:start w:w="120" w:type="dxa"/>
              <w:bottom w:w="80" w:type="dxa"/>
              <w:end w:w="120" w:type="dxa"/>
            </w:tcMar>
            <w:vAlign w:val="center"/>
            <w:shd w:fill="F2F4F7"/>
          </w:tcPr>
          <w:p>
            <w:pPr>
              <w:spacing w:after="0"/>
            </w:pPr>
            <w:r>
              <w:rPr>
                <w:rFonts w:ascii="Calibri" w:hAnsi="Calibri"/>
                <w:b/>
                <w:color w:val="0B2545"/>
                <w:sz w:val="18"/>
              </w:rPr>
              <w:t>Need</w:t>
            </w:r>
          </w:p>
        </w:tc>
        <w:tc>
          <w:tcPr>
            <w:tcW w:type="dxa" w:w="4560"/>
            <w:tcMar>
              <w:top w:w="80" w:type="dxa"/>
              <w:start w:w="120" w:type="dxa"/>
              <w:bottom w:w="80" w:type="dxa"/>
              <w:end w:w="120" w:type="dxa"/>
            </w:tcMar>
            <w:vAlign w:val="center"/>
            <w:shd w:fill="F2F4F7"/>
          </w:tcPr>
          <w:p>
            <w:pPr>
              <w:spacing w:after="0"/>
            </w:pPr>
            <w:r>
              <w:rPr>
                <w:rFonts w:ascii="Calibri" w:hAnsi="Calibri"/>
                <w:b/>
                <w:color w:val="0B2545"/>
                <w:sz w:val="18"/>
              </w:rPr>
              <w:t>Successful outcome</w:t>
            </w:r>
          </w:p>
        </w:tc>
      </w:tr>
      <w:tr>
        <w:tc>
          <w:tcPr>
            <w:tcW w:type="dxa" w:w="1550"/>
          </w:tcPr>
          <w:p>
            <w:pPr>
              <w:spacing w:after="0"/>
            </w:pPr>
            <w:r>
              <w:rPr>
                <w:rFonts w:ascii="Calibri" w:hAnsi="Calibri"/>
                <w:color w:val="202124"/>
                <w:sz w:val="18"/>
              </w:rPr>
              <w:t>Website customer</w:t>
            </w:r>
          </w:p>
        </w:tc>
        <w:tc>
          <w:tcPr>
            <w:tcW w:type="dxa" w:w="3250"/>
          </w:tcPr>
          <w:p>
            <w:pPr>
              <w:spacing w:after="0"/>
            </w:pPr>
            <w:r>
              <w:rPr>
                <w:rFonts w:ascii="Calibri" w:hAnsi="Calibri"/>
                <w:color w:val="202124"/>
                <w:sz w:val="18"/>
              </w:rPr>
              <w:t>Pay for an online order without sharing a receipt manually.</w:t>
            </w:r>
          </w:p>
        </w:tc>
        <w:tc>
          <w:tcPr>
            <w:tcW w:type="dxa" w:w="4560"/>
          </w:tcPr>
          <w:p>
            <w:pPr>
              <w:spacing w:after="0"/>
            </w:pPr>
            <w:r>
              <w:rPr>
                <w:rFonts w:ascii="Calibri" w:hAnsi="Calibri"/>
                <w:color w:val="202124"/>
                <w:sz w:val="18"/>
              </w:rPr>
              <w:t>Receives M-Pesa prompt; order stays pending until confirmation.</w:t>
            </w:r>
          </w:p>
        </w:tc>
      </w:tr>
      <w:tr>
        <w:tc>
          <w:tcPr>
            <w:tcW w:type="dxa" w:w="1550"/>
          </w:tcPr>
          <w:p>
            <w:pPr>
              <w:spacing w:after="0"/>
            </w:pPr>
            <w:r>
              <w:rPr>
                <w:rFonts w:ascii="Calibri" w:hAnsi="Calibri"/>
                <w:color w:val="202124"/>
                <w:sz w:val="18"/>
              </w:rPr>
              <w:t>Counter customer</w:t>
            </w:r>
          </w:p>
        </w:tc>
        <w:tc>
          <w:tcPr>
            <w:tcW w:type="dxa" w:w="3250"/>
          </w:tcPr>
          <w:p>
            <w:pPr>
              <w:spacing w:after="0"/>
            </w:pPr>
            <w:r>
              <w:rPr>
                <w:rFonts w:ascii="Calibri" w:hAnsi="Calibri"/>
                <w:color w:val="202124"/>
                <w:sz w:val="18"/>
              </w:rPr>
              <w:t>Pay at the shop from their phone.</w:t>
            </w:r>
          </w:p>
        </w:tc>
        <w:tc>
          <w:tcPr>
            <w:tcW w:type="dxa" w:w="4560"/>
          </w:tcPr>
          <w:p>
            <w:pPr>
              <w:spacing w:after="0"/>
            </w:pPr>
            <w:r>
              <w:rPr>
                <w:rFonts w:ascii="Calibri" w:hAnsi="Calibri"/>
                <w:color w:val="202124"/>
                <w:sz w:val="18"/>
              </w:rPr>
              <w:t>Cashier sends prompt; sale completes only after verified result.</w:t>
            </w:r>
          </w:p>
        </w:tc>
      </w:tr>
      <w:tr>
        <w:tc>
          <w:tcPr>
            <w:tcW w:type="dxa" w:w="1550"/>
          </w:tcPr>
          <w:p>
            <w:pPr>
              <w:spacing w:after="0"/>
            </w:pPr>
            <w:r>
              <w:rPr>
                <w:rFonts w:ascii="Calibri" w:hAnsi="Calibri"/>
                <w:color w:val="202124"/>
                <w:sz w:val="18"/>
              </w:rPr>
              <w:t>Cashier</w:t>
            </w:r>
          </w:p>
        </w:tc>
        <w:tc>
          <w:tcPr>
            <w:tcW w:type="dxa" w:w="3250"/>
          </w:tcPr>
          <w:p>
            <w:pPr>
              <w:spacing w:after="0"/>
            </w:pPr>
            <w:r>
              <w:rPr>
                <w:rFonts w:ascii="Calibri" w:hAnsi="Calibri"/>
                <w:color w:val="202124"/>
                <w:sz w:val="18"/>
              </w:rPr>
              <w:t>Know instantly that payment is safe to fulfil.</w:t>
            </w:r>
          </w:p>
        </w:tc>
        <w:tc>
          <w:tcPr>
            <w:tcW w:type="dxa" w:w="4560"/>
          </w:tcPr>
          <w:p>
            <w:pPr>
              <w:spacing w:after="0"/>
            </w:pPr>
            <w:r>
              <w:rPr>
                <w:rFonts w:ascii="Calibri" w:hAnsi="Calibri"/>
                <w:color w:val="202124"/>
                <w:sz w:val="18"/>
              </w:rPr>
              <w:t>POS popup confirms the verified receipt and amount.</w:t>
            </w:r>
          </w:p>
        </w:tc>
      </w:tr>
      <w:tr>
        <w:tc>
          <w:tcPr>
            <w:tcW w:type="dxa" w:w="1550"/>
          </w:tcPr>
          <w:p>
            <w:pPr>
              <w:spacing w:after="0"/>
            </w:pPr>
            <w:r>
              <w:rPr>
                <w:rFonts w:ascii="Calibri" w:hAnsi="Calibri"/>
                <w:color w:val="202124"/>
                <w:sz w:val="18"/>
              </w:rPr>
              <w:t>Owner</w:t>
            </w:r>
          </w:p>
        </w:tc>
        <w:tc>
          <w:tcPr>
            <w:tcW w:type="dxa" w:w="3250"/>
          </w:tcPr>
          <w:p>
            <w:pPr>
              <w:spacing w:after="0"/>
            </w:pPr>
            <w:r>
              <w:rPr>
                <w:rFonts w:ascii="Calibri" w:hAnsi="Calibri"/>
                <w:color w:val="202124"/>
                <w:sz w:val="18"/>
              </w:rPr>
              <w:t>See accurate paid and pending transactions.</w:t>
            </w:r>
          </w:p>
        </w:tc>
        <w:tc>
          <w:tcPr>
            <w:tcW w:type="dxa" w:w="4560"/>
          </w:tcPr>
          <w:p>
            <w:pPr>
              <w:spacing w:after="0"/>
            </w:pPr>
            <w:r>
              <w:rPr>
                <w:rFonts w:ascii="Calibri" w:hAnsi="Calibri"/>
                <w:color w:val="202124"/>
                <w:sz w:val="18"/>
              </w:rPr>
              <w:t>Admin records reflect backend-confirmed payment state.</w:t>
            </w:r>
          </w:p>
        </w:tc>
      </w:tr>
    </w:tbl>
    <w:p>
      <w:pPr>
        <w:spacing w:after="60"/>
      </w:pPr>
    </w:p>
    <w:p>
      <w:pPr>
        <w:pStyle w:val="Heading1"/>
      </w:pPr>
      <w:r>
        <w:t>7. Functional requirements</w:t>
      </w:r>
    </w:p>
    <w:tbl>
      <w:tblPr>
        <w:tblStyle w:val="TableGrid"/>
        <w:tblW w:type="dxa" w:w="9360"/>
        <w:tblLook w:firstColumn="1" w:firstRow="1" w:lastColumn="0" w:lastRow="0" w:noHBand="0" w:noVBand="1" w:val="04A0"/>
        <w:tblInd w:w="120" w:type="dxa"/>
        <w:tblLayout w:type="fixed"/>
      </w:tblPr>
      <w:tblGrid>
        <w:gridCol w:w="900"/>
        <w:gridCol w:w="6960"/>
        <w:gridCol w:w="1500"/>
      </w:tblGrid>
      <w:tr>
        <w:tc>
          <w:tcPr>
            <w:tcW w:type="dxa" w:w="900"/>
            <w:tcMar>
              <w:top w:w="80" w:type="dxa"/>
              <w:start w:w="120" w:type="dxa"/>
              <w:bottom w:w="80" w:type="dxa"/>
              <w:end w:w="120" w:type="dxa"/>
            </w:tcMar>
            <w:vAlign w:val="center"/>
            <w:shd w:fill="F2F4F7"/>
          </w:tcPr>
          <w:p>
            <w:pPr>
              <w:spacing w:after="0"/>
            </w:pPr>
            <w:r>
              <w:rPr>
                <w:rFonts w:ascii="Calibri" w:hAnsi="Calibri"/>
                <w:b/>
                <w:color w:val="0B2545"/>
                <w:sz w:val="18"/>
              </w:rPr>
              <w:t>ID</w:t>
            </w:r>
          </w:p>
        </w:tc>
        <w:tc>
          <w:tcPr>
            <w:tcW w:type="dxa" w:w="6960"/>
            <w:tcMar>
              <w:top w:w="80" w:type="dxa"/>
              <w:start w:w="120" w:type="dxa"/>
              <w:bottom w:w="80" w:type="dxa"/>
              <w:end w:w="120" w:type="dxa"/>
            </w:tcMar>
            <w:vAlign w:val="center"/>
            <w:shd w:fill="F2F4F7"/>
          </w:tcPr>
          <w:p>
            <w:pPr>
              <w:spacing w:after="0"/>
            </w:pPr>
            <w:r>
              <w:rPr>
                <w:rFonts w:ascii="Calibri" w:hAnsi="Calibri"/>
                <w:b/>
                <w:color w:val="0B2545"/>
                <w:sz w:val="18"/>
              </w:rPr>
              <w:t>Requirement</w:t>
            </w:r>
          </w:p>
        </w:tc>
        <w:tc>
          <w:tcPr>
            <w:tcW w:type="dxa" w:w="1500"/>
            <w:tcMar>
              <w:top w:w="80" w:type="dxa"/>
              <w:start w:w="120" w:type="dxa"/>
              <w:bottom w:w="80" w:type="dxa"/>
              <w:end w:w="120" w:type="dxa"/>
            </w:tcMar>
            <w:vAlign w:val="center"/>
            <w:shd w:fill="F2F4F7"/>
          </w:tcPr>
          <w:p>
            <w:pPr>
              <w:spacing w:after="0"/>
            </w:pPr>
            <w:r>
              <w:rPr>
                <w:rFonts w:ascii="Calibri" w:hAnsi="Calibri"/>
                <w:b/>
                <w:color w:val="0B2545"/>
                <w:sz w:val="18"/>
              </w:rPr>
              <w:t>Priority</w:t>
            </w:r>
          </w:p>
        </w:tc>
      </w:tr>
      <w:tr>
        <w:tc>
          <w:tcPr>
            <w:tcW w:type="dxa" w:w="900"/>
          </w:tcPr>
          <w:p>
            <w:pPr>
              <w:spacing w:after="0"/>
            </w:pPr>
            <w:r>
              <w:rPr>
                <w:rFonts w:ascii="Calibri" w:hAnsi="Calibri"/>
                <w:color w:val="202124"/>
                <w:sz w:val="18"/>
              </w:rPr>
              <w:t>FR-00</w:t>
            </w:r>
          </w:p>
        </w:tc>
        <w:tc>
          <w:tcPr>
            <w:tcW w:type="dxa" w:w="6960"/>
          </w:tcPr>
          <w:p>
            <w:pPr>
              <w:spacing w:after="0"/>
            </w:pPr>
            <w:r>
              <w:rPr>
                <w:rFonts w:ascii="Calibri" w:hAnsi="Calibri"/>
                <w:color w:val="202124"/>
                <w:sz w:val="18"/>
              </w:rPr>
              <w:t>Display active catalogue products with images, categories, variants, price and stock availability.</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FR-00A</w:t>
            </w:r>
          </w:p>
        </w:tc>
        <w:tc>
          <w:tcPr>
            <w:tcW w:type="dxa" w:w="6960"/>
          </w:tcPr>
          <w:p>
            <w:pPr>
              <w:spacing w:after="0"/>
            </w:pPr>
            <w:r>
              <w:rPr>
                <w:rFonts w:ascii="Calibri" w:hAnsi="Calibri"/>
                <w:color w:val="202124"/>
                <w:sz w:val="18"/>
              </w:rPr>
              <w:t>Maintain stock at variant level and use atomic updates for web orders and POS sales.</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FR-00B</w:t>
            </w:r>
          </w:p>
        </w:tc>
        <w:tc>
          <w:tcPr>
            <w:tcW w:type="dxa" w:w="6960"/>
          </w:tcPr>
          <w:p>
            <w:pPr>
              <w:spacing w:after="0"/>
            </w:pPr>
            <w:r>
              <w:rPr>
                <w:rFonts w:ascii="Calibri" w:hAnsi="Calibri"/>
                <w:color w:val="202124"/>
                <w:sz w:val="18"/>
              </w:rPr>
              <w:t>Allow owner-only administration of products, inventory, coupons, orders, settings and POS approvals.</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FR-00C</w:t>
            </w:r>
          </w:p>
        </w:tc>
        <w:tc>
          <w:tcPr>
            <w:tcW w:type="dxa" w:w="6960"/>
          </w:tcPr>
          <w:p>
            <w:pPr>
              <w:spacing w:after="0"/>
            </w:pPr>
            <w:r>
              <w:rPr>
                <w:rFonts w:ascii="Calibri" w:hAnsi="Calibri"/>
                <w:color w:val="202124"/>
                <w:sz w:val="18"/>
              </w:rPr>
              <w:t>Require cashier POS sessions to be approved by the owner and expire automatically.</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FR-01</w:t>
            </w:r>
          </w:p>
        </w:tc>
        <w:tc>
          <w:tcPr>
            <w:tcW w:type="dxa" w:w="6960"/>
          </w:tcPr>
          <w:p>
            <w:pPr>
              <w:spacing w:after="0"/>
            </w:pPr>
            <w:r>
              <w:rPr>
                <w:rFonts w:ascii="Calibri" w:hAnsi="Calibri"/>
                <w:color w:val="202124"/>
                <w:sz w:val="18"/>
              </w:rPr>
              <w:t>For an M-Pesa checkout, collect and validate the payer phone number.</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FR-02</w:t>
            </w:r>
          </w:p>
        </w:tc>
        <w:tc>
          <w:tcPr>
            <w:tcW w:type="dxa" w:w="6960"/>
          </w:tcPr>
          <w:p>
            <w:pPr>
              <w:spacing w:after="0"/>
            </w:pPr>
            <w:r>
              <w:rPr>
                <w:rFonts w:ascii="Calibri" w:hAnsi="Calibri"/>
                <w:color w:val="202124"/>
                <w:sz w:val="18"/>
              </w:rPr>
              <w:t>Create a pending order or POS sale before requesting M-Pesa payment.</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FR-03</w:t>
            </w:r>
          </w:p>
        </w:tc>
        <w:tc>
          <w:tcPr>
            <w:tcW w:type="dxa" w:w="6960"/>
          </w:tcPr>
          <w:p>
            <w:pPr>
              <w:spacing w:after="0"/>
            </w:pPr>
            <w:r>
              <w:rPr>
                <w:rFonts w:ascii="Calibri" w:hAnsi="Calibri"/>
                <w:color w:val="202124"/>
                <w:sz w:val="18"/>
              </w:rPr>
              <w:t>Send an STK payment request only from the backend after server-calculated totals are stored.</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FR-04</w:t>
            </w:r>
          </w:p>
        </w:tc>
        <w:tc>
          <w:tcPr>
            <w:tcW w:type="dxa" w:w="6960"/>
          </w:tcPr>
          <w:p>
            <w:pPr>
              <w:spacing w:after="0"/>
            </w:pPr>
            <w:r>
              <w:rPr>
                <w:rFonts w:ascii="Calibri" w:hAnsi="Calibri"/>
                <w:color w:val="202124"/>
                <w:sz w:val="18"/>
              </w:rPr>
              <w:t>Match the provider callback to the original checkout request and merchant request IDs.</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FR-05</w:t>
            </w:r>
          </w:p>
        </w:tc>
        <w:tc>
          <w:tcPr>
            <w:tcW w:type="dxa" w:w="6960"/>
          </w:tcPr>
          <w:p>
            <w:pPr>
              <w:spacing w:after="0"/>
            </w:pPr>
            <w:r>
              <w:rPr>
                <w:rFonts w:ascii="Calibri" w:hAnsi="Calibri"/>
                <w:color w:val="202124"/>
                <w:sz w:val="18"/>
              </w:rPr>
              <w:t>Verify amount, payer phone and M-Pesa receipt before setting payment status to PAID.</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FR-06</w:t>
            </w:r>
          </w:p>
        </w:tc>
        <w:tc>
          <w:tcPr>
            <w:tcW w:type="dxa" w:w="6960"/>
          </w:tcPr>
          <w:p>
            <w:pPr>
              <w:spacing w:after="0"/>
            </w:pPr>
            <w:r>
              <w:rPr>
                <w:rFonts w:ascii="Calibri" w:hAnsi="Calibri"/>
                <w:color w:val="202124"/>
                <w:sz w:val="18"/>
              </w:rPr>
              <w:t>Create one durable POS notification per confirmed M-Pesa payment.</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FR-07</w:t>
            </w:r>
          </w:p>
        </w:tc>
        <w:tc>
          <w:tcPr>
            <w:tcW w:type="dxa" w:w="6960"/>
          </w:tcPr>
          <w:p>
            <w:pPr>
              <w:spacing w:after="0"/>
            </w:pPr>
            <w:r>
              <w:rPr>
                <w:rFonts w:ascii="Calibri" w:hAnsi="Calibri"/>
                <w:color w:val="202124"/>
                <w:sz w:val="18"/>
              </w:rPr>
              <w:t>Poll the notification queue from an authenticated active POS session and show a popup.</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FR-08</w:t>
            </w:r>
          </w:p>
        </w:tc>
        <w:tc>
          <w:tcPr>
            <w:tcW w:type="dxa" w:w="6960"/>
          </w:tcPr>
          <w:p>
            <w:pPr>
              <w:spacing w:after="0"/>
            </w:pPr>
            <w:r>
              <w:rPr>
                <w:rFonts w:ascii="Calibri" w:hAnsi="Calibri"/>
                <w:color w:val="202124"/>
                <w:sz w:val="18"/>
              </w:rPr>
              <w:t>Acknowledge the popup without deleting the underlying payment record.</w:t>
            </w:r>
          </w:p>
        </w:tc>
        <w:tc>
          <w:tcPr>
            <w:tcW w:type="dxa" w:w="1500"/>
          </w:tcPr>
          <w:p>
            <w:pPr>
              <w:spacing w:after="0"/>
            </w:pPr>
            <w:r>
              <w:rPr>
                <w:rFonts w:ascii="Calibri" w:hAnsi="Calibri"/>
                <w:color w:val="202124"/>
                <w:sz w:val="18"/>
              </w:rPr>
              <w:t>Should</w:t>
            </w:r>
          </w:p>
        </w:tc>
      </w:tr>
      <w:tr>
        <w:tc>
          <w:tcPr>
            <w:tcW w:type="dxa" w:w="900"/>
          </w:tcPr>
          <w:p>
            <w:pPr>
              <w:spacing w:after="0"/>
            </w:pPr>
            <w:r>
              <w:rPr>
                <w:rFonts w:ascii="Calibri" w:hAnsi="Calibri"/>
                <w:color w:val="202124"/>
                <w:sz w:val="18"/>
              </w:rPr>
              <w:t>FR-09</w:t>
            </w:r>
          </w:p>
        </w:tc>
        <w:tc>
          <w:tcPr>
            <w:tcW w:type="dxa" w:w="6960"/>
          </w:tcPr>
          <w:p>
            <w:pPr>
              <w:spacing w:after="0"/>
            </w:pPr>
            <w:r>
              <w:rPr>
                <w:rFonts w:ascii="Calibri" w:hAnsi="Calibri"/>
                <w:color w:val="202124"/>
                <w:sz w:val="18"/>
              </w:rPr>
              <w:t>On a confirmed failed/cancelled callback, mark payment FAILED and restore reserved stock.</w:t>
            </w:r>
          </w:p>
        </w:tc>
        <w:tc>
          <w:tcPr>
            <w:tcW w:type="dxa" w:w="1500"/>
          </w:tcPr>
          <w:p>
            <w:pPr>
              <w:spacing w:after="0"/>
            </w:pPr>
            <w:r>
              <w:rPr>
                <w:rFonts w:ascii="Calibri" w:hAnsi="Calibri"/>
                <w:color w:val="202124"/>
                <w:sz w:val="18"/>
              </w:rPr>
              <w:t>Must</w:t>
            </w:r>
          </w:p>
        </w:tc>
      </w:tr>
      <w:tr>
        <w:tc>
          <w:tcPr>
            <w:tcW w:type="dxa" w:w="900"/>
          </w:tcPr>
          <w:p>
            <w:pPr>
              <w:spacing w:after="0"/>
            </w:pPr>
            <w:r>
              <w:rPr>
                <w:rFonts w:ascii="Calibri" w:hAnsi="Calibri"/>
                <w:color w:val="202124"/>
                <w:sz w:val="18"/>
              </w:rPr>
              <w:t>FR-10</w:t>
            </w:r>
          </w:p>
        </w:tc>
        <w:tc>
          <w:tcPr>
            <w:tcW w:type="dxa" w:w="6960"/>
          </w:tcPr>
          <w:p>
            <w:pPr>
              <w:spacing w:after="0"/>
            </w:pPr>
            <w:r>
              <w:rPr>
                <w:rFonts w:ascii="Calibri" w:hAnsi="Calibri"/>
                <w:color w:val="202124"/>
                <w:sz w:val="18"/>
              </w:rPr>
              <w:t>Prevent the same receipt or provider callback from creating multiple paid records.</w:t>
            </w:r>
          </w:p>
        </w:tc>
        <w:tc>
          <w:tcPr>
            <w:tcW w:type="dxa" w:w="1500"/>
          </w:tcPr>
          <w:p>
            <w:pPr>
              <w:spacing w:after="0"/>
            </w:pPr>
            <w:r>
              <w:rPr>
                <w:rFonts w:ascii="Calibri" w:hAnsi="Calibri"/>
                <w:color w:val="202124"/>
                <w:sz w:val="18"/>
              </w:rPr>
              <w:t>Must</w:t>
            </w:r>
          </w:p>
        </w:tc>
      </w:tr>
    </w:tbl>
    <w:p>
      <w:pPr>
        <w:spacing w:after="60"/>
      </w:pPr>
    </w:p>
    <w:p>
      <w:pPr>
        <w:pStyle w:val="Heading1"/>
      </w:pPr>
      <w:r>
        <w:t>8. Acceptance criteria</w:t>
      </w:r>
    </w:p>
    <w:p>
      <w:pPr>
        <w:pStyle w:val="ListNumber"/>
        <w:spacing w:after="80" w:line="280" w:lineRule="auto"/>
        <w:ind w:left="720" w:hanging="360"/>
      </w:pPr>
      <w:r>
        <w:rPr>
          <w:rFonts w:ascii="Calibri" w:hAnsi="Calibri"/>
          <w:color w:val="202124"/>
          <w:sz w:val="22"/>
        </w:rPr>
        <w:t>A website M-Pesa order remains PENDING until the backend receives a valid successful callback.</w:t>
      </w:r>
    </w:p>
    <w:p>
      <w:pPr>
        <w:pStyle w:val="ListNumber"/>
        <w:spacing w:after="80" w:line="280" w:lineRule="auto"/>
        <w:ind w:left="720" w:hanging="360"/>
      </w:pPr>
      <w:r>
        <w:rPr>
          <w:rFonts w:ascii="Calibri" w:hAnsi="Calibri"/>
          <w:color w:val="202124"/>
          <w:sz w:val="22"/>
        </w:rPr>
        <w:t>A physical POS M-Pesa sale prompts the customer and does not request that the cashier type a receipt code.</w:t>
      </w:r>
    </w:p>
    <w:p>
      <w:pPr>
        <w:pStyle w:val="ListNumber"/>
        <w:spacing w:after="80" w:line="280" w:lineRule="auto"/>
        <w:ind w:left="720" w:hanging="360"/>
      </w:pPr>
      <w:r>
        <w:rPr>
          <w:rFonts w:ascii="Calibri" w:hAnsi="Calibri"/>
          <w:color w:val="202124"/>
          <w:sz w:val="22"/>
        </w:rPr>
        <w:t>After a valid callback, the POS displays one popup containing the reference, amount and M-Pesa receipt.</w:t>
      </w:r>
    </w:p>
    <w:p>
      <w:pPr>
        <w:pStyle w:val="ListNumber"/>
        <w:spacing w:after="80" w:line="280" w:lineRule="auto"/>
        <w:ind w:left="720" w:hanging="360"/>
      </w:pPr>
      <w:r>
        <w:rPr>
          <w:rFonts w:ascii="Calibri" w:hAnsi="Calibri"/>
          <w:color w:val="202124"/>
          <w:sz w:val="22"/>
        </w:rPr>
        <w:t>A callback with the wrong amount, phone, request ID or secret does not mark payment as paid.</w:t>
      </w:r>
    </w:p>
    <w:p>
      <w:pPr>
        <w:pStyle w:val="ListNumber"/>
        <w:spacing w:after="80" w:line="280" w:lineRule="auto"/>
        <w:ind w:left="720" w:hanging="360"/>
      </w:pPr>
      <w:r>
        <w:rPr>
          <w:rFonts w:ascii="Calibri" w:hAnsi="Calibri"/>
          <w:color w:val="202124"/>
          <w:sz w:val="22"/>
        </w:rPr>
        <w:t>A callback retry does not create another notification or change stock twice.</w:t>
      </w:r>
    </w:p>
    <w:p>
      <w:pPr>
        <w:pStyle w:val="ListNumber"/>
        <w:spacing w:after="80" w:line="280" w:lineRule="auto"/>
        <w:ind w:left="720" w:hanging="360"/>
      </w:pPr>
      <w:r>
        <w:rPr>
          <w:rFonts w:ascii="Calibri" w:hAnsi="Calibri"/>
          <w:color w:val="202124"/>
          <w:sz w:val="22"/>
        </w:rPr>
        <w:t>A failed/cancelled callback restores the stock reserved for that transaction exactly once.</w:t>
      </w:r>
    </w:p>
    <w:p>
      <w:pPr>
        <w:pStyle w:val="ListNumber"/>
        <w:spacing w:after="80" w:line="280" w:lineRule="auto"/>
        <w:ind w:left="720" w:hanging="360"/>
      </w:pPr>
      <w:r>
        <w:rPr>
          <w:rFonts w:ascii="Calibri" w:hAnsi="Calibri"/>
          <w:color w:val="202124"/>
          <w:sz w:val="22"/>
        </w:rPr>
        <w:t>If the POS is briefly offline, it receives the unacknowledged notification after reconnecting.</w:t>
      </w:r>
    </w:p>
    <w:p>
      <w:pPr>
        <w:pStyle w:val="ListNumber"/>
        <w:spacing w:after="80" w:line="280" w:lineRule="auto"/>
        <w:ind w:left="720" w:hanging="360"/>
      </w:pPr>
      <w:r>
        <w:rPr>
          <w:rFonts w:ascii="Calibri" w:hAnsi="Calibri"/>
          <w:color w:val="202124"/>
          <w:sz w:val="22"/>
        </w:rPr>
        <w:t>A product or variant deactivated by the owner cannot be added to a new web order or POS sale.</w:t>
      </w:r>
    </w:p>
    <w:p>
      <w:pPr>
        <w:pStyle w:val="ListNumber"/>
        <w:spacing w:after="80" w:line="280" w:lineRule="auto"/>
        <w:ind w:left="720" w:hanging="360"/>
      </w:pPr>
      <w:r>
        <w:rPr>
          <w:rFonts w:ascii="Calibri" w:hAnsi="Calibri"/>
          <w:color w:val="202124"/>
          <w:sz w:val="22"/>
        </w:rPr>
        <w:t>Stock is never reduced below zero by two simultaneous checkout attempts.</w:t>
      </w:r>
    </w:p>
    <w:p>
      <w:pPr>
        <w:pStyle w:val="ListNumber"/>
        <w:spacing w:after="80" w:line="280" w:lineRule="auto"/>
        <w:ind w:left="720" w:hanging="360"/>
      </w:pPr>
      <w:r>
        <w:rPr>
          <w:rFonts w:ascii="Calibri" w:hAnsi="Calibri"/>
          <w:color w:val="202124"/>
          <w:sz w:val="22"/>
        </w:rPr>
        <w:t>Only owner accounts can access administration endpoints and approve POS sessions.</w:t>
      </w:r>
    </w:p>
    <w:p>
      <w:pPr>
        <w:pStyle w:val="Heading1"/>
      </w:pPr>
      <w:r>
        <w:t>9. Experience requirements</w:t>
      </w:r>
    </w:p>
    <w:p>
      <w:pPr>
        <w:pStyle w:val="ListBullet"/>
        <w:spacing w:after="80" w:line="280" w:lineRule="auto"/>
        <w:ind w:left="720" w:hanging="360"/>
      </w:pPr>
      <w:r>
        <w:rPr>
          <w:rFonts w:ascii="Calibri" w:hAnsi="Calibri"/>
          <w:color w:val="202124"/>
          <w:sz w:val="22"/>
        </w:rPr>
        <w:t>The website says that payment is confirmed only after M-Pesa responds to the backend.</w:t>
      </w:r>
    </w:p>
    <w:p>
      <w:pPr>
        <w:pStyle w:val="ListBullet"/>
        <w:spacing w:after="80" w:line="280" w:lineRule="auto"/>
        <w:ind w:left="720" w:hanging="360"/>
      </w:pPr>
      <w:r>
        <w:rPr>
          <w:rFonts w:ascii="Calibri" w:hAnsi="Calibri"/>
          <w:color w:val="202124"/>
          <w:sz w:val="22"/>
        </w:rPr>
        <w:t>The POS call-to-action is “Send M-Pesa Prompt,” not “Complete Sale,” until payment is confirmed.</w:t>
      </w:r>
    </w:p>
    <w:p>
      <w:pPr>
        <w:pStyle w:val="ListBullet"/>
        <w:spacing w:after="80" w:line="280" w:lineRule="auto"/>
        <w:ind w:left="720" w:hanging="360"/>
      </w:pPr>
      <w:r>
        <w:rPr>
          <w:rFonts w:ascii="Calibri" w:hAnsi="Calibri"/>
          <w:color w:val="202124"/>
          <w:sz w:val="22"/>
        </w:rPr>
        <w:t>The popup is readable from a counter distance and requires an explicit cashier acknowledgement.</w:t>
      </w:r>
    </w:p>
    <w:p>
      <w:pPr>
        <w:pStyle w:val="ListBullet"/>
        <w:spacing w:after="80" w:line="280" w:lineRule="auto"/>
        <w:ind w:left="720" w:hanging="360"/>
      </w:pPr>
      <w:r>
        <w:rPr>
          <w:rFonts w:ascii="Calibri" w:hAnsi="Calibri"/>
          <w:color w:val="202124"/>
          <w:sz w:val="22"/>
        </w:rPr>
        <w:t>If configuration is absent, the system explains that M-Pesa is not configured; it never pretends payment succeeded.</w:t>
      </w:r>
    </w:p>
    <w:p>
      <w:pPr>
        <w:pStyle w:val="Heading1"/>
      </w:pPr>
      <w:r>
        <w:t>10. Success measures</w:t>
      </w:r>
    </w:p>
    <w:tbl>
      <w:tblPr>
        <w:tblStyle w:val="TableGrid"/>
        <w:tblW w:type="dxa" w:w="9360"/>
        <w:tblLook w:firstColumn="1" w:firstRow="1" w:lastColumn="0" w:lastRow="0" w:noHBand="0" w:noVBand="1" w:val="04A0"/>
        <w:tblInd w:w="120" w:type="dxa"/>
        <w:tblLayout w:type="fixed"/>
      </w:tblPr>
      <w:tblGrid>
        <w:gridCol w:w="3100"/>
        <w:gridCol w:w="2500"/>
        <w:gridCol w:w="3760"/>
      </w:tblGrid>
      <w:tr>
        <w:tc>
          <w:tcPr>
            <w:tcW w:type="dxa" w:w="3100"/>
            <w:tcMar>
              <w:top w:w="80" w:type="dxa"/>
              <w:start w:w="120" w:type="dxa"/>
              <w:bottom w:w="80" w:type="dxa"/>
              <w:end w:w="120" w:type="dxa"/>
            </w:tcMar>
            <w:vAlign w:val="center"/>
            <w:shd w:fill="F2F4F7"/>
          </w:tcPr>
          <w:p>
            <w:pPr>
              <w:spacing w:after="0"/>
            </w:pPr>
            <w:r>
              <w:rPr>
                <w:rFonts w:ascii="Calibri" w:hAnsi="Calibri"/>
                <w:b/>
                <w:color w:val="0B2545"/>
                <w:sz w:val="18"/>
              </w:rPr>
              <w:t>Measure</w:t>
            </w:r>
          </w:p>
        </w:tc>
        <w:tc>
          <w:tcPr>
            <w:tcW w:type="dxa" w:w="2500"/>
            <w:tcMar>
              <w:top w:w="80" w:type="dxa"/>
              <w:start w:w="120" w:type="dxa"/>
              <w:bottom w:w="80" w:type="dxa"/>
              <w:end w:w="120" w:type="dxa"/>
            </w:tcMar>
            <w:vAlign w:val="center"/>
            <w:shd w:fill="F2F4F7"/>
          </w:tcPr>
          <w:p>
            <w:pPr>
              <w:spacing w:after="0"/>
            </w:pPr>
            <w:r>
              <w:rPr>
                <w:rFonts w:ascii="Calibri" w:hAnsi="Calibri"/>
                <w:b/>
                <w:color w:val="0B2545"/>
                <w:sz w:val="18"/>
              </w:rPr>
              <w:t>Target at launch</w:t>
            </w:r>
          </w:p>
        </w:tc>
        <w:tc>
          <w:tcPr>
            <w:tcW w:type="dxa" w:w="3760"/>
            <w:tcMar>
              <w:top w:w="80" w:type="dxa"/>
              <w:start w:w="120" w:type="dxa"/>
              <w:bottom w:w="80" w:type="dxa"/>
              <w:end w:w="120" w:type="dxa"/>
            </w:tcMar>
            <w:vAlign w:val="center"/>
            <w:shd w:fill="F2F4F7"/>
          </w:tcPr>
          <w:p>
            <w:pPr>
              <w:spacing w:after="0"/>
            </w:pPr>
            <w:r>
              <w:rPr>
                <w:rFonts w:ascii="Calibri" w:hAnsi="Calibri"/>
                <w:b/>
                <w:color w:val="0B2545"/>
                <w:sz w:val="18"/>
              </w:rPr>
              <w:t>How measured</w:t>
            </w:r>
          </w:p>
        </w:tc>
      </w:tr>
      <w:tr>
        <w:tc>
          <w:tcPr>
            <w:tcW w:type="dxa" w:w="3100"/>
          </w:tcPr>
          <w:p>
            <w:pPr>
              <w:spacing w:after="0"/>
            </w:pPr>
            <w:r>
              <w:rPr>
                <w:rFonts w:ascii="Calibri" w:hAnsi="Calibri"/>
                <w:color w:val="202124"/>
                <w:sz w:val="18"/>
              </w:rPr>
              <w:t>Verified-payment popup delivery</w:t>
            </w:r>
          </w:p>
        </w:tc>
        <w:tc>
          <w:tcPr>
            <w:tcW w:type="dxa" w:w="2500"/>
          </w:tcPr>
          <w:p>
            <w:pPr>
              <w:spacing w:after="0"/>
            </w:pPr>
            <w:r>
              <w:rPr>
                <w:rFonts w:ascii="Calibri" w:hAnsi="Calibri"/>
                <w:color w:val="202124"/>
                <w:sz w:val="18"/>
              </w:rPr>
              <w:t>≥ 99% within 10 seconds of callback</w:t>
            </w:r>
          </w:p>
        </w:tc>
        <w:tc>
          <w:tcPr>
            <w:tcW w:type="dxa" w:w="3760"/>
          </w:tcPr>
          <w:p>
            <w:pPr>
              <w:spacing w:after="0"/>
            </w:pPr>
            <w:r>
              <w:rPr>
                <w:rFonts w:ascii="Calibri" w:hAnsi="Calibri"/>
                <w:color w:val="202124"/>
                <w:sz w:val="18"/>
              </w:rPr>
              <w:t>API and POS event timestamps</w:t>
            </w:r>
          </w:p>
        </w:tc>
      </w:tr>
      <w:tr>
        <w:tc>
          <w:tcPr>
            <w:tcW w:type="dxa" w:w="3100"/>
          </w:tcPr>
          <w:p>
            <w:pPr>
              <w:spacing w:after="0"/>
            </w:pPr>
            <w:r>
              <w:rPr>
                <w:rFonts w:ascii="Calibri" w:hAnsi="Calibri"/>
                <w:color w:val="202124"/>
                <w:sz w:val="18"/>
              </w:rPr>
              <w:t>Duplicate payment alerts</w:t>
            </w:r>
          </w:p>
        </w:tc>
        <w:tc>
          <w:tcPr>
            <w:tcW w:type="dxa" w:w="2500"/>
          </w:tcPr>
          <w:p>
            <w:pPr>
              <w:spacing w:after="0"/>
            </w:pPr>
            <w:r>
              <w:rPr>
                <w:rFonts w:ascii="Calibri" w:hAnsi="Calibri"/>
                <w:color w:val="202124"/>
                <w:sz w:val="18"/>
              </w:rPr>
              <w:t>0</w:t>
            </w:r>
          </w:p>
        </w:tc>
        <w:tc>
          <w:tcPr>
            <w:tcW w:type="dxa" w:w="3760"/>
          </w:tcPr>
          <w:p>
            <w:pPr>
              <w:spacing w:after="0"/>
            </w:pPr>
            <w:r>
              <w:rPr>
                <w:rFonts w:ascii="Calibri" w:hAnsi="Calibri"/>
                <w:color w:val="202124"/>
                <w:sz w:val="18"/>
              </w:rPr>
              <w:t>Unique payment notification records</w:t>
            </w:r>
          </w:p>
        </w:tc>
      </w:tr>
      <w:tr>
        <w:tc>
          <w:tcPr>
            <w:tcW w:type="dxa" w:w="3100"/>
          </w:tcPr>
          <w:p>
            <w:pPr>
              <w:spacing w:after="0"/>
            </w:pPr>
            <w:r>
              <w:rPr>
                <w:rFonts w:ascii="Calibri" w:hAnsi="Calibri"/>
                <w:color w:val="202124"/>
                <w:sz w:val="18"/>
              </w:rPr>
              <w:t>False paid status</w:t>
            </w:r>
          </w:p>
        </w:tc>
        <w:tc>
          <w:tcPr>
            <w:tcW w:type="dxa" w:w="2500"/>
          </w:tcPr>
          <w:p>
            <w:pPr>
              <w:spacing w:after="0"/>
            </w:pPr>
            <w:r>
              <w:rPr>
                <w:rFonts w:ascii="Calibri" w:hAnsi="Calibri"/>
                <w:color w:val="202124"/>
                <w:sz w:val="18"/>
              </w:rPr>
              <w:t>0</w:t>
            </w:r>
          </w:p>
        </w:tc>
        <w:tc>
          <w:tcPr>
            <w:tcW w:type="dxa" w:w="3760"/>
          </w:tcPr>
          <w:p>
            <w:pPr>
              <w:spacing w:after="0"/>
            </w:pPr>
            <w:r>
              <w:rPr>
                <w:rFonts w:ascii="Calibri" w:hAnsi="Calibri"/>
                <w:color w:val="202124"/>
                <w:sz w:val="18"/>
              </w:rPr>
              <w:t>Audit review of callback validation failures</w:t>
            </w:r>
          </w:p>
        </w:tc>
      </w:tr>
      <w:tr>
        <w:tc>
          <w:tcPr>
            <w:tcW w:type="dxa" w:w="3100"/>
          </w:tcPr>
          <w:p>
            <w:pPr>
              <w:spacing w:after="0"/>
            </w:pPr>
            <w:r>
              <w:rPr>
                <w:rFonts w:ascii="Calibri" w:hAnsi="Calibri"/>
                <w:color w:val="202124"/>
                <w:sz w:val="18"/>
              </w:rPr>
              <w:t>Unresolved pending payments</w:t>
            </w:r>
          </w:p>
        </w:tc>
        <w:tc>
          <w:tcPr>
            <w:tcW w:type="dxa" w:w="2500"/>
          </w:tcPr>
          <w:p>
            <w:pPr>
              <w:spacing w:after="0"/>
            </w:pPr>
            <w:r>
              <w:rPr>
                <w:rFonts w:ascii="Calibri" w:hAnsi="Calibri"/>
                <w:color w:val="202124"/>
                <w:sz w:val="18"/>
              </w:rPr>
              <w:t>&lt; 1% after daily review</w:t>
            </w:r>
          </w:p>
        </w:tc>
        <w:tc>
          <w:tcPr>
            <w:tcW w:type="dxa" w:w="3760"/>
          </w:tcPr>
          <w:p>
            <w:pPr>
              <w:spacing w:after="0"/>
            </w:pPr>
            <w:r>
              <w:rPr>
                <w:rFonts w:ascii="Calibri" w:hAnsi="Calibri"/>
                <w:color w:val="202124"/>
                <w:sz w:val="18"/>
              </w:rPr>
              <w:t>Pending payment age report</w:t>
            </w:r>
          </w:p>
        </w:tc>
      </w:tr>
      <w:tr>
        <w:tc>
          <w:tcPr>
            <w:tcW w:type="dxa" w:w="3100"/>
          </w:tcPr>
          <w:p>
            <w:pPr>
              <w:spacing w:after="0"/>
            </w:pPr>
            <w:r>
              <w:rPr>
                <w:rFonts w:ascii="Calibri" w:hAnsi="Calibri"/>
                <w:color w:val="202124"/>
                <w:sz w:val="18"/>
              </w:rPr>
              <w:t>Inventory oversells</w:t>
            </w:r>
          </w:p>
        </w:tc>
        <w:tc>
          <w:tcPr>
            <w:tcW w:type="dxa" w:w="2500"/>
          </w:tcPr>
          <w:p>
            <w:pPr>
              <w:spacing w:after="0"/>
            </w:pPr>
            <w:r>
              <w:rPr>
                <w:rFonts w:ascii="Calibri" w:hAnsi="Calibri"/>
                <w:color w:val="202124"/>
                <w:sz w:val="18"/>
              </w:rPr>
              <w:t>0</w:t>
            </w:r>
          </w:p>
        </w:tc>
        <w:tc>
          <w:tcPr>
            <w:tcW w:type="dxa" w:w="3760"/>
          </w:tcPr>
          <w:p>
            <w:pPr>
              <w:spacing w:after="0"/>
            </w:pPr>
            <w:r>
              <w:rPr>
                <w:rFonts w:ascii="Calibri" w:hAnsi="Calibri"/>
                <w:color w:val="202124"/>
                <w:sz w:val="18"/>
              </w:rPr>
              <w:t>Inventory movement and order reconciliation</w:t>
            </w:r>
          </w:p>
        </w:tc>
      </w:tr>
    </w:tbl>
    <w:p>
      <w:pPr>
        <w:spacing w:after="60"/>
      </w:pPr>
    </w:p>
    <w:p>
      <w:pPr>
        <w:pStyle w:val="Heading1"/>
      </w:pPr>
      <w:r>
        <w:t>11. Launch dependencies and risks</w:t>
      </w:r>
    </w:p>
    <w:p>
      <w:pPr>
        <w:pStyle w:val="ListBullet"/>
        <w:spacing w:after="80" w:line="280" w:lineRule="auto"/>
        <w:ind w:left="720" w:hanging="360"/>
      </w:pPr>
      <w:r>
        <w:rPr>
          <w:rFonts w:ascii="Calibri" w:hAnsi="Calibri"/>
          <w:color w:val="202124"/>
          <w:sz w:val="22"/>
        </w:rPr>
        <w:t>Safaricom Daraja credentials, merchant shortcode/passkey, and an approved production setup are required.</w:t>
      </w:r>
    </w:p>
    <w:p>
      <w:pPr>
        <w:pStyle w:val="ListBullet"/>
        <w:spacing w:after="80" w:line="280" w:lineRule="auto"/>
        <w:ind w:left="720" w:hanging="360"/>
      </w:pPr>
      <w:r>
        <w:rPr>
          <w:rFonts w:ascii="Calibri" w:hAnsi="Calibri"/>
          <w:color w:val="202124"/>
          <w:sz w:val="22"/>
        </w:rPr>
        <w:t>The callback address must be a public HTTPS endpoint reachable by Safaricom.</w:t>
      </w:r>
    </w:p>
    <w:p>
      <w:pPr>
        <w:pStyle w:val="ListBullet"/>
        <w:spacing w:after="80" w:line="280" w:lineRule="auto"/>
        <w:ind w:left="720" w:hanging="360"/>
      </w:pPr>
      <w:r>
        <w:rPr>
          <w:rFonts w:ascii="Calibri" w:hAnsi="Calibri"/>
          <w:color w:val="202124"/>
          <w:sz w:val="22"/>
        </w:rPr>
        <w:t>Secrets must be held in the deployment secret manager, not in source control.</w:t>
      </w:r>
    </w:p>
    <w:p>
      <w:pPr>
        <w:pStyle w:val="ListBullet"/>
        <w:spacing w:after="80" w:line="280" w:lineRule="auto"/>
        <w:ind w:left="720" w:hanging="360"/>
      </w:pPr>
      <w:r>
        <w:rPr>
          <w:rFonts w:ascii="Calibri" w:hAnsi="Calibri"/>
          <w:color w:val="202124"/>
          <w:sz w:val="22"/>
        </w:rPr>
        <w:t>Store staff need a short procedure for pending payments and an owner escalation path.</w:t>
      </w:r>
    </w:p>
    <w:p>
      <w:r>
        <w:br w:type="page"/>
      </w:r>
    </w:p>
    <w:p>
      <w:pPr>
        <w:pStyle w:val="Heading1"/>
      </w:pPr>
      <w:r>
        <w:t>Storefront experience update October 2026</w:t>
      </w:r>
    </w:p>
    <w:p>
      <w:pPr>
        <w:pStyle w:val="ListBullet"/>
      </w:pPr>
      <w:r>
        <w:t>Preserve the original black and pink boutique identity, with clear merchandise grids, responsive navigation and explicit size/colour selection.</w:t>
      </w:r>
    </w:p>
    <w:p>
      <w:pPr>
        <w:pStyle w:val="ListBullet"/>
      </w:pPr>
      <w:r>
        <w:t>The top campaign below navigation contains four slides: women's clothing, men's clothing, sneakers and new arrivals. Each offers a corresponding catalogue action, previous/next controls and a labelled slide selector.</w:t>
      </w:r>
    </w:p>
    <w:p>
      <w:pPr>
        <w:pStyle w:val="ListBullet"/>
      </w:pPr>
      <w:r>
        <w:t>Customers can pause automatic rotation. Rotation pauses during interaction and honours reduced-motion preferences.</w:t>
      </w:r>
    </w:p>
    <w:p>
      <w:pPr>
        <w:pStyle w:val="ListBullet"/>
      </w:pPr>
      <w:r>
        <w:t>Product records, prices and stock come only from the API. Campaign photography is promotional imagery, not evidence of a particular product's availability. An unavailable or empty catalogue must remain honest; no demo catalogue or fake customer/admin login is allowed.</w:t>
      </w:r>
    </w:p>
    <w:p>
      <w:pPr>
        <w:pStyle w:val="ListBullet"/>
      </w:pPr>
      <w:r>
        <w:t>The slogan "Be bold. Be bright. Be you." is prominently sized and bold on desktop and phones.</w:t>
      </w:r>
    </w:p>
    <w:p>
      <w:pPr>
        <w:pStyle w:val="ListBullet"/>
      </w:pPr>
      <w:r>
        <w:t>Circular WhatsApp and Gem AI controls stay fixed at the bottom with safe-area spacing. They hide while shopping or chat dialogs are open.</w:t>
      </w:r>
    </w:p>
    <w:p>
      <w:pPr>
        <w:pStyle w:val="ListBullet"/>
      </w:pPr>
      <w:r>
        <w:t>Gem AI opens in a compact inset panel on phones, with visible close and send controls and a separately scrolling conversation. It must not fill the whole phone screen.</w:t>
      </w:r>
    </w:p>
    <w:p>
      <w:pPr>
        <w:pStyle w:val="ListBullet"/>
      </w:pPr>
      <w:r>
        <w:t>The footer displays copyright year 2023 as requested by the owner; this is a fixed display value, not the documentation version date.</w:t>
      </w:r>
    </w:p>
    <w:p>
      <w:pPr>
        <w:pStyle w:val="ListBullet"/>
      </w:pPr>
      <w:r>
        <w:t>Every functional or visual change must update the PRD, TRD and relevant project documentation before delivery. Shared Word copies must reflect the same requirements.</w:t>
      </w:r>
    </w:p>
    <w:p>
      <w:r>
        <w:t>The POS M-Pesa popup investigation remains unresolved. Daraja simulation acceptance is not proof of callback delivery; verified callback, sale correlation and notification delivery still require end-to-end acceptance testing.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872"/>
        <w:sz w:val="16"/>
      </w:rPr>
      <w:t xml:space="preserve">Confidential — Internal planning document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872"/>
        <w:sz w:val="16"/>
      </w:rPr>
      <w:t>GEM &amp; CRYSTAL FASHION HUB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