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F4D78"/>
          <w:sz w:val="20"/>
        </w:rPr>
        <w:t>TECHNICAL REQUIREMENTS DOCUMENT</w:t>
      </w:r>
    </w:p>
    <w:p>
      <w:pPr>
        <w:spacing w:after="80"/>
      </w:pPr>
      <w:r>
        <w:rPr>
          <w:rFonts w:ascii="Calibri" w:hAnsi="Calibri"/>
          <w:b/>
          <w:color w:val="0B2545"/>
          <w:sz w:val="48"/>
        </w:rPr>
        <w:t>Gem &amp; Crystal Platform Architecture</w:t>
      </w:r>
    </w:p>
    <w:p>
      <w:pPr>
        <w:spacing w:after="300"/>
      </w:pPr>
      <w:r>
        <w:rPr>
          <w:rFonts w:ascii="Calibri" w:hAnsi="Calibri"/>
          <w:color w:val="5A6872"/>
          <w:sz w:val="26"/>
        </w:rPr>
        <w:t>Technical requirements for storefront, API, administration, POS, inventory and payments</w:t>
      </w:r>
    </w:p>
    <w:tbl>
      <w:tblPr>
        <w:tblW w:type="dxa" w:w="9360"/>
        <w:tblLook w:firstColumn="1" w:firstRow="1" w:lastColumn="0" w:lastRow="0" w:noHBand="0" w:noVBand="1" w:val="04A0"/>
        <w:tblInd w:w="120" w:type="dxa"/>
        <w:tblLayout w:type="fixed"/>
      </w:tblPr>
      <w:tblGrid>
        <w:gridCol w:w="1800"/>
        <w:gridCol w:w="756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Product</w:t>
            </w:r>
          </w:p>
        </w:tc>
        <w:tc>
          <w:tcPr>
            <w:tcW w:type="dxa" w:w="7560"/>
            <w:tcMar>
              <w:top w:w="80" w:type="dxa"/>
              <w:start w:w="120" w:type="dxa"/>
              <w:bottom w:w="80" w:type="dxa"/>
              <w:end w:w="120" w:type="dxa"/>
            </w:tcMar>
            <w:vAlign w:val="center"/>
          </w:tcPr>
          <w:p>
            <w:pPr>
              <w:spacing w:after="0"/>
            </w:pPr>
            <w:r>
              <w:rPr>
                <w:rFonts w:ascii="Calibri" w:hAnsi="Calibri"/>
                <w:color w:val="202124"/>
                <w:sz w:val="20"/>
              </w:rPr>
              <w:t>Gem &amp; Crystal Fashion Hub</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Scope</w:t>
            </w:r>
          </w:p>
        </w:tc>
        <w:tc>
          <w:tcPr>
            <w:tcW w:type="dxa" w:w="7560"/>
            <w:tcMar>
              <w:top w:w="80" w:type="dxa"/>
              <w:start w:w="120" w:type="dxa"/>
              <w:bottom w:w="80" w:type="dxa"/>
              <w:end w:w="120" w:type="dxa"/>
            </w:tcMar>
            <w:vAlign w:val="center"/>
          </w:tcPr>
          <w:p>
            <w:pPr>
              <w:spacing w:after="0"/>
            </w:pPr>
            <w:r>
              <w:rPr>
                <w:rFonts w:ascii="Calibri" w:hAnsi="Calibri"/>
                <w:color w:val="202124"/>
                <w:sz w:val="20"/>
              </w:rPr>
              <w:t>Storefront, API, admin dashboard, POS, inventory and payments</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Version</w:t>
            </w:r>
          </w:p>
        </w:tc>
        <w:tc>
          <w:tcPr>
            <w:tcW w:type="dxa" w:w="7560"/>
            <w:tcMar>
              <w:top w:w="80" w:type="dxa"/>
              <w:start w:w="120" w:type="dxa"/>
              <w:bottom w:w="80" w:type="dxa"/>
              <w:end w:w="120" w:type="dxa"/>
            </w:tcMar>
            <w:vAlign w:val="center"/>
          </w:tcPr>
          <w:p>
            <w:r>
              <w:t>1.4 - payment diagnostics and cashier monitoring</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Date</w:t>
            </w:r>
          </w:p>
        </w:tc>
        <w:tc>
          <w:tcPr>
            <w:tcW w:type="dxa" w:w="7560"/>
            <w:tcMar>
              <w:top w:w="80" w:type="dxa"/>
              <w:start w:w="120" w:type="dxa"/>
              <w:bottom w:w="80" w:type="dxa"/>
              <w:end w:w="120" w:type="dxa"/>
            </w:tcMar>
            <w:vAlign w:val="center"/>
          </w:tcPr>
          <w:p>
            <w:r>
              <w:t>8 October 2026</w:t>
            </w:r>
          </w:p>
        </w:tc>
      </w:tr>
    </w:tbl>
    <w:p>
      <w:pPr>
        <w:pStyle w:val="Heading1"/>
      </w:pPr>
      <w:r>
        <w:t>1. Architecture overview</w:t>
      </w:r>
    </w:p>
    <w:p>
      <w:r>
        <w:rPr>
          <w:rFonts w:ascii="Calibri" w:hAnsi="Calibri"/>
          <w:color w:val="202124"/>
          <w:sz w:val="22"/>
        </w:rPr>
        <w:t>The system consists of independent React applications for the storefront, owner admin dashboard and physical-store POS, backed by one Express API and PostgreSQL database. The API is the authority for authentication, product data, inventory, orders, payments and POS sessions. Safaricom Daraja returns final M-Pesa results to a protected API callback; the API validates the result inside a database transaction, then writes a durable notification for the POS.</w:t>
      </w:r>
    </w:p>
    <w:tbl>
      <w:tblPr>
        <w:tblStyle w:val="TableGrid"/>
        <w:tblW w:type="dxa" w:w="9360"/>
        <w:tblLook w:firstColumn="1" w:firstRow="1" w:lastColumn="0" w:lastRow="0" w:noHBand="0" w:noVBand="1" w:val="04A0"/>
        <w:tblInd w:w="120" w:type="dxa"/>
        <w:tblLayout w:type="fixed"/>
      </w:tblPr>
      <w:tblGrid>
        <w:gridCol w:w="1800"/>
        <w:gridCol w:w="5160"/>
        <w:gridCol w:w="240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Component</w:t>
            </w:r>
          </w:p>
        </w:tc>
        <w:tc>
          <w:tcPr>
            <w:tcW w:type="dxa" w:w="5160"/>
            <w:tcMar>
              <w:top w:w="80" w:type="dxa"/>
              <w:start w:w="120" w:type="dxa"/>
              <w:bottom w:w="80" w:type="dxa"/>
              <w:end w:w="120" w:type="dxa"/>
            </w:tcMar>
            <w:vAlign w:val="center"/>
            <w:shd w:fill="F2F4F7"/>
          </w:tcPr>
          <w:p>
            <w:pPr>
              <w:spacing w:after="0"/>
            </w:pPr>
            <w:r>
              <w:rPr>
                <w:rFonts w:ascii="Calibri" w:hAnsi="Calibri"/>
                <w:b/>
                <w:color w:val="0B2545"/>
                <w:sz w:val="18"/>
              </w:rPr>
              <w:t>Responsibility</w:t>
            </w:r>
          </w:p>
        </w:tc>
        <w:tc>
          <w:tcPr>
            <w:tcW w:type="dxa" w:w="2400"/>
            <w:tcMar>
              <w:top w:w="80" w:type="dxa"/>
              <w:start w:w="120" w:type="dxa"/>
              <w:bottom w:w="80" w:type="dxa"/>
              <w:end w:w="120" w:type="dxa"/>
            </w:tcMar>
            <w:vAlign w:val="center"/>
            <w:shd w:fill="F2F4F7"/>
          </w:tcPr>
          <w:p>
            <w:pPr>
              <w:spacing w:after="0"/>
            </w:pPr>
            <w:r>
              <w:rPr>
                <w:rFonts w:ascii="Calibri" w:hAnsi="Calibri"/>
                <w:b/>
                <w:color w:val="0B2545"/>
                <w:sz w:val="18"/>
              </w:rPr>
              <w:t>Trust level</w:t>
            </w:r>
          </w:p>
        </w:tc>
      </w:tr>
      <w:tr>
        <w:tc>
          <w:tcPr>
            <w:tcW w:type="dxa" w:w="1800"/>
          </w:tcPr>
          <w:p>
            <w:pPr>
              <w:spacing w:after="0"/>
            </w:pPr>
            <w:r>
              <w:rPr>
                <w:rFonts w:ascii="Calibri" w:hAnsi="Calibri"/>
                <w:color w:val="202124"/>
                <w:sz w:val="18"/>
              </w:rPr>
              <w:t>Storefront</w:t>
            </w:r>
          </w:p>
        </w:tc>
        <w:tc>
          <w:tcPr>
            <w:tcW w:type="dxa" w:w="5160"/>
          </w:tcPr>
          <w:p>
            <w:pPr>
              <w:spacing w:after="0"/>
            </w:pPr>
            <w:r>
              <w:rPr>
                <w:rFonts w:ascii="Calibri" w:hAnsi="Calibri"/>
                <w:color w:val="202124"/>
                <w:sz w:val="18"/>
              </w:rPr>
              <w:t>Collect delivery and payer details; request checkout.</w:t>
            </w:r>
          </w:p>
        </w:tc>
        <w:tc>
          <w:tcPr>
            <w:tcW w:type="dxa" w:w="2400"/>
          </w:tcPr>
          <w:p>
            <w:pPr>
              <w:spacing w:after="0"/>
            </w:pPr>
            <w:r>
              <w:rPr>
                <w:rFonts w:ascii="Calibri" w:hAnsi="Calibri"/>
                <w:color w:val="202124"/>
                <w:sz w:val="18"/>
              </w:rPr>
              <w:t>Untrusted client</w:t>
            </w:r>
          </w:p>
        </w:tc>
      </w:tr>
      <w:tr>
        <w:tc>
          <w:tcPr>
            <w:tcW w:type="dxa" w:w="1800"/>
          </w:tcPr>
          <w:p>
            <w:pPr>
              <w:spacing w:after="0"/>
            </w:pPr>
            <w:r>
              <w:rPr>
                <w:rFonts w:ascii="Calibri" w:hAnsi="Calibri"/>
                <w:color w:val="202124"/>
                <w:sz w:val="18"/>
              </w:rPr>
              <w:t>Admin</w:t>
            </w:r>
          </w:p>
        </w:tc>
        <w:tc>
          <w:tcPr>
            <w:tcW w:type="dxa" w:w="5160"/>
          </w:tcPr>
          <w:p>
            <w:pPr>
              <w:spacing w:after="0"/>
            </w:pPr>
            <w:r>
              <w:rPr>
                <w:rFonts w:ascii="Calibri" w:hAnsi="Calibri"/>
                <w:color w:val="202124"/>
                <w:sz w:val="18"/>
              </w:rPr>
              <w:t>Owner-only product, inventory, coupon, order and POS control.</w:t>
            </w:r>
          </w:p>
        </w:tc>
        <w:tc>
          <w:tcPr>
            <w:tcW w:type="dxa" w:w="2400"/>
          </w:tcPr>
          <w:p>
            <w:pPr>
              <w:spacing w:after="0"/>
            </w:pPr>
            <w:r>
              <w:rPr>
                <w:rFonts w:ascii="Calibri" w:hAnsi="Calibri"/>
                <w:color w:val="202124"/>
                <w:sz w:val="18"/>
              </w:rPr>
              <w:t>Authenticated owner client</w:t>
            </w:r>
          </w:p>
        </w:tc>
      </w:tr>
      <w:tr>
        <w:tc>
          <w:tcPr>
            <w:tcW w:type="dxa" w:w="1800"/>
          </w:tcPr>
          <w:p>
            <w:pPr>
              <w:spacing w:after="0"/>
            </w:pPr>
            <w:r>
              <w:rPr>
                <w:rFonts w:ascii="Calibri" w:hAnsi="Calibri"/>
                <w:color w:val="202124"/>
                <w:sz w:val="18"/>
              </w:rPr>
              <w:t>Dedicated POS / admin POS</w:t>
            </w:r>
          </w:p>
        </w:tc>
        <w:tc>
          <w:tcPr>
            <w:tcW w:type="dxa" w:w="5160"/>
          </w:tcPr>
          <w:p>
            <w:pPr>
              <w:spacing w:after="0"/>
            </w:pPr>
            <w:r>
              <w:rPr>
                <w:rFonts w:ascii="Calibri" w:hAnsi="Calibri"/>
                <w:color w:val="202124"/>
                <w:sz w:val="18"/>
              </w:rPr>
              <w:t>Start counter sale; poll for confirmed payment alert.</w:t>
            </w:r>
          </w:p>
        </w:tc>
        <w:tc>
          <w:tcPr>
            <w:tcW w:type="dxa" w:w="2400"/>
          </w:tcPr>
          <w:p>
            <w:pPr>
              <w:spacing w:after="0"/>
            </w:pPr>
            <w:r>
              <w:rPr>
                <w:rFonts w:ascii="Calibri" w:hAnsi="Calibri"/>
                <w:color w:val="202124"/>
                <w:sz w:val="18"/>
              </w:rPr>
              <w:t>Authenticated client</w:t>
            </w:r>
          </w:p>
        </w:tc>
      </w:tr>
      <w:tr>
        <w:tc>
          <w:tcPr>
            <w:tcW w:type="dxa" w:w="1800"/>
          </w:tcPr>
          <w:p>
            <w:pPr>
              <w:spacing w:after="0"/>
            </w:pPr>
            <w:r>
              <w:rPr>
                <w:rFonts w:ascii="Calibri" w:hAnsi="Calibri"/>
                <w:color w:val="202124"/>
                <w:sz w:val="18"/>
              </w:rPr>
              <w:t>API</w:t>
            </w:r>
          </w:p>
        </w:tc>
        <w:tc>
          <w:tcPr>
            <w:tcW w:type="dxa" w:w="5160"/>
          </w:tcPr>
          <w:p>
            <w:pPr>
              <w:spacing w:after="0"/>
            </w:pPr>
            <w:r>
              <w:rPr>
                <w:rFonts w:ascii="Calibri" w:hAnsi="Calibri"/>
                <w:color w:val="202124"/>
                <w:sz w:val="18"/>
              </w:rPr>
              <w:t>Price calculation, STK request, callback validation, status changes.</w:t>
            </w:r>
          </w:p>
        </w:tc>
        <w:tc>
          <w:tcPr>
            <w:tcW w:type="dxa" w:w="2400"/>
          </w:tcPr>
          <w:p>
            <w:pPr>
              <w:spacing w:after="0"/>
            </w:pPr>
            <w:r>
              <w:rPr>
                <w:rFonts w:ascii="Calibri" w:hAnsi="Calibri"/>
                <w:color w:val="202124"/>
                <w:sz w:val="18"/>
              </w:rPr>
              <w:t>Payment authority</w:t>
            </w:r>
          </w:p>
        </w:tc>
      </w:tr>
      <w:tr>
        <w:tc>
          <w:tcPr>
            <w:tcW w:type="dxa" w:w="1800"/>
          </w:tcPr>
          <w:p>
            <w:pPr>
              <w:spacing w:after="0"/>
            </w:pPr>
            <w:r>
              <w:rPr>
                <w:rFonts w:ascii="Calibri" w:hAnsi="Calibri"/>
                <w:color w:val="202124"/>
                <w:sz w:val="18"/>
              </w:rPr>
              <w:t>PostgreSQL</w:t>
            </w:r>
          </w:p>
        </w:tc>
        <w:tc>
          <w:tcPr>
            <w:tcW w:type="dxa" w:w="5160"/>
          </w:tcPr>
          <w:p>
            <w:pPr>
              <w:spacing w:after="0"/>
            </w:pPr>
            <w:r>
              <w:rPr>
                <w:rFonts w:ascii="Calibri" w:hAnsi="Calibri"/>
                <w:color w:val="202124"/>
                <w:sz w:val="18"/>
              </w:rPr>
              <w:t>Orders, POS sales, inventory movements, notification queue, audit log.</w:t>
            </w:r>
          </w:p>
        </w:tc>
        <w:tc>
          <w:tcPr>
            <w:tcW w:type="dxa" w:w="2400"/>
          </w:tcPr>
          <w:p>
            <w:pPr>
              <w:spacing w:after="0"/>
            </w:pPr>
            <w:r>
              <w:rPr>
                <w:rFonts w:ascii="Calibri" w:hAnsi="Calibri"/>
                <w:color w:val="202124"/>
                <w:sz w:val="18"/>
              </w:rPr>
              <w:t>System of record</w:t>
            </w:r>
          </w:p>
        </w:tc>
      </w:tr>
      <w:tr>
        <w:tc>
          <w:tcPr>
            <w:tcW w:type="dxa" w:w="1800"/>
          </w:tcPr>
          <w:p>
            <w:pPr>
              <w:spacing w:after="0"/>
            </w:pPr>
            <w:r>
              <w:rPr>
                <w:rFonts w:ascii="Calibri" w:hAnsi="Calibri"/>
                <w:color w:val="202124"/>
                <w:sz w:val="18"/>
              </w:rPr>
              <w:t>Safaricom Daraja</w:t>
            </w:r>
          </w:p>
        </w:tc>
        <w:tc>
          <w:tcPr>
            <w:tcW w:type="dxa" w:w="5160"/>
          </w:tcPr>
          <w:p>
            <w:pPr>
              <w:spacing w:after="0"/>
            </w:pPr>
            <w:r>
              <w:rPr>
                <w:rFonts w:ascii="Calibri" w:hAnsi="Calibri"/>
                <w:color w:val="202124"/>
                <w:sz w:val="18"/>
              </w:rPr>
              <w:t>M-Pesa prompt and callback result.</w:t>
            </w:r>
          </w:p>
        </w:tc>
        <w:tc>
          <w:tcPr>
            <w:tcW w:type="dxa" w:w="2400"/>
          </w:tcPr>
          <w:p>
            <w:pPr>
              <w:spacing w:after="0"/>
            </w:pPr>
            <w:r>
              <w:rPr>
                <w:rFonts w:ascii="Calibri" w:hAnsi="Calibri"/>
                <w:color w:val="202124"/>
                <w:sz w:val="18"/>
              </w:rPr>
              <w:t>External provider</w:t>
            </w:r>
          </w:p>
        </w:tc>
      </w:tr>
    </w:tbl>
    <w:p>
      <w:pPr>
        <w:spacing w:after="60"/>
      </w:pPr>
    </w:p>
    <w:p>
      <w:pPr>
        <w:pStyle w:val="Heading1"/>
      </w:pPr>
      <w:r>
        <w:t>2. Core platform flows</w:t>
      </w:r>
    </w:p>
    <w:p>
      <w:pPr>
        <w:pStyle w:val="ListNumber"/>
        <w:spacing w:after="80" w:line="280" w:lineRule="auto"/>
        <w:ind w:left="720" w:hanging="360"/>
      </w:pPr>
      <w:r>
        <w:rPr>
          <w:rFonts w:ascii="Calibri" w:hAnsi="Calibri"/>
          <w:color w:val="202124"/>
          <w:sz w:val="22"/>
        </w:rPr>
        <w:t>Client submits product variant IDs, quantities, customer details and payer phone to the API.</w:t>
      </w:r>
    </w:p>
    <w:p>
      <w:pPr>
        <w:pStyle w:val="ListNumber"/>
        <w:spacing w:after="80" w:line="280" w:lineRule="auto"/>
        <w:ind w:left="720" w:hanging="360"/>
      </w:pPr>
      <w:r>
        <w:rPr>
          <w:rFonts w:ascii="Calibri" w:hAnsi="Calibri"/>
          <w:color w:val="202124"/>
          <w:sz w:val="22"/>
        </w:rPr>
        <w:t>API validates input, calculates authoritative prices/totals, reserves stock and creates PENDING record.</w:t>
      </w:r>
    </w:p>
    <w:p>
      <w:pPr>
        <w:pStyle w:val="ListNumber"/>
        <w:spacing w:after="80" w:line="280" w:lineRule="auto"/>
        <w:ind w:left="720" w:hanging="360"/>
      </w:pPr>
      <w:r>
        <w:rPr>
          <w:rFonts w:ascii="Calibri" w:hAnsi="Calibri"/>
          <w:color w:val="202124"/>
          <w:sz w:val="22"/>
        </w:rPr>
        <w:t>API requests an STK push from Daraja and stores CheckoutRequestID and MerchantRequestID.</w:t>
      </w:r>
    </w:p>
    <w:p>
      <w:pPr>
        <w:pStyle w:val="ListNumber"/>
        <w:spacing w:after="80" w:line="280" w:lineRule="auto"/>
        <w:ind w:left="720" w:hanging="360"/>
      </w:pPr>
      <w:r>
        <w:rPr>
          <w:rFonts w:ascii="Calibri" w:hAnsi="Calibri"/>
          <w:color w:val="202124"/>
          <w:sz w:val="22"/>
        </w:rPr>
        <w:t>Customer approves or cancels payment on their phone.</w:t>
      </w:r>
    </w:p>
    <w:p>
      <w:pPr>
        <w:pStyle w:val="ListNumber"/>
        <w:spacing w:after="80" w:line="280" w:lineRule="auto"/>
        <w:ind w:left="720" w:hanging="360"/>
      </w:pPr>
      <w:r>
        <w:rPr>
          <w:rFonts w:ascii="Calibri" w:hAnsi="Calibri"/>
          <w:color w:val="202124"/>
          <w:sz w:val="22"/>
        </w:rPr>
        <w:t>Daraja calls the public callback URL with the payment result.</w:t>
      </w:r>
    </w:p>
    <w:p>
      <w:pPr>
        <w:pStyle w:val="ListNumber"/>
        <w:spacing w:after="80" w:line="280" w:lineRule="auto"/>
        <w:ind w:left="720" w:hanging="360"/>
      </w:pPr>
      <w:r>
        <w:rPr>
          <w:rFonts w:ascii="Calibri" w:hAnsi="Calibri"/>
          <w:color w:val="202124"/>
          <w:sz w:val="22"/>
        </w:rPr>
        <w:t>API validates callback secret, request IDs, result code, amount, payer phone and receipt.</w:t>
      </w:r>
    </w:p>
    <w:p>
      <w:pPr>
        <w:pStyle w:val="ListNumber"/>
        <w:spacing w:after="80" w:line="280" w:lineRule="auto"/>
        <w:ind w:left="720" w:hanging="360"/>
      </w:pPr>
      <w:r>
        <w:rPr>
          <w:rFonts w:ascii="Calibri" w:hAnsi="Calibri"/>
          <w:color w:val="202124"/>
          <w:sz w:val="22"/>
        </w:rPr>
        <w:t>API updates payment status and creates one PaymentNotification record in the same transaction.</w:t>
      </w:r>
    </w:p>
    <w:p>
      <w:pPr>
        <w:pStyle w:val="ListNumber"/>
        <w:spacing w:after="80" w:line="280" w:lineRule="auto"/>
        <w:ind w:left="720" w:hanging="360"/>
      </w:pPr>
      <w:r>
        <w:rPr>
          <w:rFonts w:ascii="Calibri" w:hAnsi="Calibri"/>
          <w:color w:val="202124"/>
          <w:sz w:val="22"/>
        </w:rPr>
        <w:t>Authenticated POS polls notification endpoint every three seconds, receives alert once and shows popup.</w:t>
      </w:r>
    </w:p>
    <w:p>
      <w:pPr>
        <w:pStyle w:val="Heading1"/>
      </w:pPr>
      <w:r>
        <w:t>3. Catalogue, stock and access control</w:t>
      </w:r>
    </w:p>
    <w:p>
      <w:pPr>
        <w:pStyle w:val="ListBullet"/>
        <w:spacing w:after="80" w:line="280" w:lineRule="auto"/>
        <w:ind w:left="720" w:hanging="360"/>
      </w:pPr>
      <w:r>
        <w:rPr>
          <w:rFonts w:ascii="Calibri" w:hAnsi="Calibri"/>
          <w:color w:val="202124"/>
          <w:sz w:val="22"/>
        </w:rPr>
        <w:t>Product variants are the sellable unit. Each variant has an SKU, size, colour, price, optional sale price and stock quantity.</w:t>
      </w:r>
    </w:p>
    <w:p>
      <w:pPr>
        <w:pStyle w:val="ListBullet"/>
        <w:spacing w:after="80" w:line="280" w:lineRule="auto"/>
        <w:ind w:left="720" w:hanging="360"/>
      </w:pPr>
      <w:r>
        <w:rPr>
          <w:rFonts w:ascii="Calibri" w:hAnsi="Calibri"/>
          <w:color w:val="202124"/>
          <w:sz w:val="22"/>
        </w:rPr>
        <w:t>API calculates checkout and POS line prices from current database variants; clients send only IDs and quantities.</w:t>
      </w:r>
    </w:p>
    <w:p>
      <w:pPr>
        <w:pStyle w:val="ListBullet"/>
        <w:spacing w:after="80" w:line="280" w:lineRule="auto"/>
        <w:ind w:left="720" w:hanging="360"/>
      </w:pPr>
      <w:r>
        <w:rPr>
          <w:rFonts w:ascii="Calibri" w:hAnsi="Calibri"/>
          <w:color w:val="202124"/>
          <w:sz w:val="22"/>
        </w:rPr>
        <w:t>Stock updates use database conditions so stock cannot fall below zero during simultaneous sales.</w:t>
      </w:r>
    </w:p>
    <w:p>
      <w:pPr>
        <w:pStyle w:val="ListBullet"/>
        <w:spacing w:after="80" w:line="280" w:lineRule="auto"/>
        <w:ind w:left="720" w:hanging="360"/>
      </w:pPr>
      <w:r>
        <w:rPr>
          <w:rFonts w:ascii="Calibri" w:hAnsi="Calibri"/>
          <w:color w:val="202124"/>
          <w:sz w:val="22"/>
        </w:rPr>
        <w:t>InventoryMovement records every sale, failed-payment return and owner adjustment with an actor and reference.</w:t>
      </w:r>
    </w:p>
    <w:p>
      <w:pPr>
        <w:pStyle w:val="ListBullet"/>
        <w:spacing w:after="80" w:line="280" w:lineRule="auto"/>
        <w:ind w:left="720" w:hanging="360"/>
      </w:pPr>
      <w:r>
        <w:rPr>
          <w:rFonts w:ascii="Calibri" w:hAnsi="Calibri"/>
          <w:color w:val="202124"/>
          <w:sz w:val="22"/>
        </w:rPr>
        <w:t>Owner API routes require an owner JWT. Cashier POS sessions require a separate approved session token with an expiry.</w:t>
      </w:r>
    </w:p>
    <w:p>
      <w:pPr>
        <w:pStyle w:val="Heading1"/>
      </w:pPr>
      <w:r>
        <w:t>4. Data model requirements</w:t>
      </w:r>
    </w:p>
    <w:tbl>
      <w:tblPr>
        <w:tblStyle w:val="TableGrid"/>
        <w:tblW w:type="dxa" w:w="9360"/>
        <w:tblLook w:firstColumn="1" w:firstRow="1" w:lastColumn="0" w:lastRow="0" w:noHBand="0" w:noVBand="1" w:val="04A0"/>
        <w:tblInd w:w="120" w:type="dxa"/>
        <w:tblLayout w:type="fixed"/>
      </w:tblPr>
      <w:tblGrid>
        <w:gridCol w:w="1800"/>
        <w:gridCol w:w="4800"/>
        <w:gridCol w:w="276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Entity</w:t>
            </w:r>
          </w:p>
        </w:tc>
        <w:tc>
          <w:tcPr>
            <w:tcW w:type="dxa" w:w="4800"/>
            <w:tcMar>
              <w:top w:w="80" w:type="dxa"/>
              <w:start w:w="120" w:type="dxa"/>
              <w:bottom w:w="80" w:type="dxa"/>
              <w:end w:w="120" w:type="dxa"/>
            </w:tcMar>
            <w:vAlign w:val="center"/>
            <w:shd w:fill="F2F4F7"/>
          </w:tcPr>
          <w:p>
            <w:pPr>
              <w:spacing w:after="0"/>
            </w:pPr>
            <w:r>
              <w:rPr>
                <w:rFonts w:ascii="Calibri" w:hAnsi="Calibri"/>
                <w:b/>
                <w:color w:val="0B2545"/>
                <w:sz w:val="18"/>
              </w:rPr>
              <w:t>Required fields / constraints</w:t>
            </w:r>
          </w:p>
        </w:tc>
        <w:tc>
          <w:tcPr>
            <w:tcW w:type="dxa" w:w="2760"/>
            <w:tcMar>
              <w:top w:w="80" w:type="dxa"/>
              <w:start w:w="120" w:type="dxa"/>
              <w:bottom w:w="80" w:type="dxa"/>
              <w:end w:w="120" w:type="dxa"/>
            </w:tcMar>
            <w:vAlign w:val="center"/>
            <w:shd w:fill="F2F4F7"/>
          </w:tcPr>
          <w:p>
            <w:pPr>
              <w:spacing w:after="0"/>
            </w:pPr>
            <w:r>
              <w:rPr>
                <w:rFonts w:ascii="Calibri" w:hAnsi="Calibri"/>
                <w:b/>
                <w:color w:val="0B2545"/>
                <w:sz w:val="18"/>
              </w:rPr>
              <w:t>Purpose</w:t>
            </w:r>
          </w:p>
        </w:tc>
      </w:tr>
      <w:tr>
        <w:tc>
          <w:tcPr>
            <w:tcW w:type="dxa" w:w="1800"/>
          </w:tcPr>
          <w:p>
            <w:pPr>
              <w:spacing w:after="0"/>
            </w:pPr>
            <w:r>
              <w:rPr>
                <w:rFonts w:ascii="Calibri" w:hAnsi="Calibri"/>
                <w:color w:val="202124"/>
                <w:sz w:val="18"/>
              </w:rPr>
              <w:t>Order</w:t>
            </w:r>
          </w:p>
        </w:tc>
        <w:tc>
          <w:tcPr>
            <w:tcW w:type="dxa" w:w="4800"/>
          </w:tcPr>
          <w:p>
            <w:pPr>
              <w:spacing w:after="0"/>
            </w:pPr>
            <w:r>
              <w:rPr>
                <w:rFonts w:ascii="Calibri" w:hAnsi="Calibri"/>
                <w:color w:val="202124"/>
                <w:sz w:val="18"/>
              </w:rPr>
              <w:t>paymentStatus, mpesaReceipt UNIQUE, checkout/merchant request IDs UNIQUE, initiated timestamp</w:t>
            </w:r>
          </w:p>
        </w:tc>
        <w:tc>
          <w:tcPr>
            <w:tcW w:type="dxa" w:w="2760"/>
          </w:tcPr>
          <w:p>
            <w:pPr>
              <w:spacing w:after="0"/>
            </w:pPr>
            <w:r>
              <w:rPr>
                <w:rFonts w:ascii="Calibri" w:hAnsi="Calibri"/>
                <w:color w:val="202124"/>
                <w:sz w:val="18"/>
              </w:rPr>
              <w:t>Online payment lifecycle</w:t>
            </w:r>
          </w:p>
        </w:tc>
      </w:tr>
      <w:tr>
        <w:tc>
          <w:tcPr>
            <w:tcW w:type="dxa" w:w="1800"/>
          </w:tcPr>
          <w:p>
            <w:pPr>
              <w:spacing w:after="0"/>
            </w:pPr>
            <w:r>
              <w:rPr>
                <w:rFonts w:ascii="Calibri" w:hAnsi="Calibri"/>
                <w:color w:val="202124"/>
                <w:sz w:val="18"/>
              </w:rPr>
              <w:t>PosSale</w:t>
            </w:r>
          </w:p>
        </w:tc>
        <w:tc>
          <w:tcPr>
            <w:tcW w:type="dxa" w:w="4800"/>
          </w:tcPr>
          <w:p>
            <w:pPr>
              <w:spacing w:after="0"/>
            </w:pPr>
            <w:r>
              <w:rPr>
                <w:rFonts w:ascii="Calibri" w:hAnsi="Calibri"/>
                <w:color w:val="202124"/>
                <w:sz w:val="18"/>
              </w:rPr>
              <w:t>paymentStatus, mpesaReceipt UNIQUE, checkout/merchant request IDs UNIQUE, initiated timestamp</w:t>
            </w:r>
          </w:p>
        </w:tc>
        <w:tc>
          <w:tcPr>
            <w:tcW w:type="dxa" w:w="2760"/>
          </w:tcPr>
          <w:p>
            <w:pPr>
              <w:spacing w:after="0"/>
            </w:pPr>
            <w:r>
              <w:rPr>
                <w:rFonts w:ascii="Calibri" w:hAnsi="Calibri"/>
                <w:color w:val="202124"/>
                <w:sz w:val="18"/>
              </w:rPr>
              <w:t>Counter payment lifecycle</w:t>
            </w:r>
          </w:p>
        </w:tc>
      </w:tr>
      <w:tr>
        <w:tc>
          <w:tcPr>
            <w:tcW w:type="dxa" w:w="1800"/>
          </w:tcPr>
          <w:p>
            <w:pPr>
              <w:spacing w:after="0"/>
            </w:pPr>
            <w:r>
              <w:rPr>
                <w:rFonts w:ascii="Calibri" w:hAnsi="Calibri"/>
                <w:color w:val="202124"/>
                <w:sz w:val="18"/>
              </w:rPr>
              <w:t>PaymentNotification</w:t>
            </w:r>
          </w:p>
        </w:tc>
        <w:tc>
          <w:tcPr>
            <w:tcW w:type="dxa" w:w="4800"/>
          </w:tcPr>
          <w:p>
            <w:pPr>
              <w:spacing w:after="0"/>
            </w:pPr>
            <w:r>
              <w:rPr>
                <w:rFonts w:ascii="Calibri" w:hAnsi="Calibri"/>
                <w:color w:val="202124"/>
                <w:sz w:val="18"/>
              </w:rPr>
              <w:t>orderId or posSaleId UNIQUE; paymentReference UNIQUE; acknowledgedAt</w:t>
            </w:r>
          </w:p>
        </w:tc>
        <w:tc>
          <w:tcPr>
            <w:tcW w:type="dxa" w:w="2760"/>
          </w:tcPr>
          <w:p>
            <w:pPr>
              <w:spacing w:after="0"/>
            </w:pPr>
            <w:r>
              <w:rPr>
                <w:rFonts w:ascii="Calibri" w:hAnsi="Calibri"/>
                <w:color w:val="202124"/>
                <w:sz w:val="18"/>
              </w:rPr>
              <w:t>Durable one-time POS alert</w:t>
            </w:r>
          </w:p>
        </w:tc>
      </w:tr>
      <w:tr>
        <w:tc>
          <w:tcPr>
            <w:tcW w:type="dxa" w:w="1800"/>
          </w:tcPr>
          <w:p>
            <w:pPr>
              <w:spacing w:after="0"/>
            </w:pPr>
            <w:r>
              <w:rPr>
                <w:rFonts w:ascii="Calibri" w:hAnsi="Calibri"/>
                <w:color w:val="202124"/>
                <w:sz w:val="18"/>
              </w:rPr>
              <w:t>InventoryMovement</w:t>
            </w:r>
          </w:p>
        </w:tc>
        <w:tc>
          <w:tcPr>
            <w:tcW w:type="dxa" w:w="4800"/>
          </w:tcPr>
          <w:p>
            <w:pPr>
              <w:spacing w:after="0"/>
            </w:pPr>
            <w:r>
              <w:rPr>
                <w:rFonts w:ascii="Calibri" w:hAnsi="Calibri"/>
                <w:color w:val="202124"/>
                <w:sz w:val="18"/>
              </w:rPr>
              <w:t>variant, quantity, previous/new stock, reference, actor</w:t>
            </w:r>
          </w:p>
        </w:tc>
        <w:tc>
          <w:tcPr>
            <w:tcW w:type="dxa" w:w="2760"/>
          </w:tcPr>
          <w:p>
            <w:pPr>
              <w:spacing w:after="0"/>
            </w:pPr>
            <w:r>
              <w:rPr>
                <w:rFonts w:ascii="Calibri" w:hAnsi="Calibri"/>
                <w:color w:val="202124"/>
                <w:sz w:val="18"/>
              </w:rPr>
              <w:t>Audit stock reserve and release</w:t>
            </w:r>
          </w:p>
        </w:tc>
      </w:tr>
      <w:tr>
        <w:tc>
          <w:tcPr>
            <w:tcW w:type="dxa" w:w="1800"/>
          </w:tcPr>
          <w:p>
            <w:pPr>
              <w:spacing w:after="0"/>
            </w:pPr>
            <w:r>
              <w:rPr>
                <w:rFonts w:ascii="Calibri" w:hAnsi="Calibri"/>
                <w:color w:val="202124"/>
                <w:sz w:val="18"/>
              </w:rPr>
              <w:t>AuditLog</w:t>
            </w:r>
          </w:p>
        </w:tc>
        <w:tc>
          <w:tcPr>
            <w:tcW w:type="dxa" w:w="4800"/>
          </w:tcPr>
          <w:p>
            <w:pPr>
              <w:spacing w:after="0"/>
            </w:pPr>
            <w:r>
              <w:rPr>
                <w:rFonts w:ascii="Calibri" w:hAnsi="Calibri"/>
                <w:color w:val="202124"/>
                <w:sz w:val="18"/>
              </w:rPr>
              <w:t>action, details, timestamp, source IP</w:t>
            </w:r>
          </w:p>
        </w:tc>
        <w:tc>
          <w:tcPr>
            <w:tcW w:type="dxa" w:w="2760"/>
          </w:tcPr>
          <w:p>
            <w:pPr>
              <w:spacing w:after="0"/>
            </w:pPr>
            <w:r>
              <w:rPr>
                <w:rFonts w:ascii="Calibri" w:hAnsi="Calibri"/>
                <w:color w:val="202124"/>
                <w:sz w:val="18"/>
              </w:rPr>
              <w:t>Operational and security audit</w:t>
            </w:r>
          </w:p>
        </w:tc>
      </w:tr>
    </w:tbl>
    <w:p>
      <w:pPr>
        <w:spacing w:after="60"/>
      </w:pP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sz w:val="20"/>
              </w:rPr>
              <w:t xml:space="preserve">Transaction rule:  </w:t>
            </w:r>
            <w:r>
              <w:rPr>
                <w:rFonts w:ascii="Calibri" w:hAnsi="Calibri"/>
                <w:color w:val="202124"/>
                <w:sz w:val="20"/>
              </w:rPr>
              <w:t>Payment status, stock release and notification creation must be committed atomically. A callback retry must be safe at every point.</w:t>
            </w:r>
          </w:p>
        </w:tc>
      </w:tr>
    </w:tbl>
    <w:p>
      <w:pPr>
        <w:pStyle w:val="Heading1"/>
      </w:pPr>
      <w:r>
        <w:t>5. API requirements</w:t>
      </w:r>
    </w:p>
    <w:tbl>
      <w:tblPr>
        <w:tblStyle w:val="TableGrid"/>
        <w:tblW w:type="dxa" w:w="9360"/>
        <w:tblLook w:firstColumn="1" w:firstRow="1" w:lastColumn="0" w:lastRow="0" w:noHBand="0" w:noVBand="1" w:val="04A0"/>
        <w:tblInd w:w="120" w:type="dxa"/>
        <w:tblLayout w:type="fixed"/>
      </w:tblPr>
      <w:tblGrid>
        <w:gridCol w:w="3000"/>
        <w:gridCol w:w="2600"/>
        <w:gridCol w:w="3760"/>
      </w:tblGrid>
      <w:tr>
        <w:tc>
          <w:tcPr>
            <w:tcW w:type="dxa" w:w="3000"/>
            <w:tcMar>
              <w:top w:w="80" w:type="dxa"/>
              <w:start w:w="120" w:type="dxa"/>
              <w:bottom w:w="80" w:type="dxa"/>
              <w:end w:w="120" w:type="dxa"/>
            </w:tcMar>
            <w:vAlign w:val="center"/>
            <w:shd w:fill="F2F4F7"/>
          </w:tcPr>
          <w:p>
            <w:pPr>
              <w:spacing w:after="0"/>
            </w:pPr>
            <w:r>
              <w:rPr>
                <w:rFonts w:ascii="Calibri" w:hAnsi="Calibri"/>
                <w:b/>
                <w:color w:val="0B2545"/>
                <w:sz w:val="18"/>
              </w:rPr>
              <w:t>Endpoint</w:t>
            </w:r>
          </w:p>
        </w:tc>
        <w:tc>
          <w:tcPr>
            <w:tcW w:type="dxa" w:w="2600"/>
            <w:tcMar>
              <w:top w:w="80" w:type="dxa"/>
              <w:start w:w="120" w:type="dxa"/>
              <w:bottom w:w="80" w:type="dxa"/>
              <w:end w:w="120" w:type="dxa"/>
            </w:tcMar>
            <w:vAlign w:val="center"/>
            <w:shd w:fill="F2F4F7"/>
          </w:tcPr>
          <w:p>
            <w:pPr>
              <w:spacing w:after="0"/>
            </w:pPr>
            <w:r>
              <w:rPr>
                <w:rFonts w:ascii="Calibri" w:hAnsi="Calibri"/>
                <w:b/>
                <w:color w:val="0B2545"/>
                <w:sz w:val="18"/>
              </w:rPr>
              <w:t>Authentication</w:t>
            </w:r>
          </w:p>
        </w:tc>
        <w:tc>
          <w:tcPr>
            <w:tcW w:type="dxa" w:w="3760"/>
            <w:tcMar>
              <w:top w:w="80" w:type="dxa"/>
              <w:start w:w="120" w:type="dxa"/>
              <w:bottom w:w="80" w:type="dxa"/>
              <w:end w:w="120" w:type="dxa"/>
            </w:tcMar>
            <w:vAlign w:val="center"/>
            <w:shd w:fill="F2F4F7"/>
          </w:tcPr>
          <w:p>
            <w:pPr>
              <w:spacing w:after="0"/>
            </w:pPr>
            <w:r>
              <w:rPr>
                <w:rFonts w:ascii="Calibri" w:hAnsi="Calibri"/>
                <w:b/>
                <w:color w:val="0B2545"/>
                <w:sz w:val="18"/>
              </w:rPr>
              <w:t>Behaviour</w:t>
            </w:r>
          </w:p>
        </w:tc>
      </w:tr>
      <w:tr>
        <w:tc>
          <w:tcPr>
            <w:tcW w:type="dxa" w:w="3000"/>
          </w:tcPr>
          <w:p>
            <w:pPr>
              <w:spacing w:after="0"/>
            </w:pPr>
            <w:r>
              <w:rPr>
                <w:rFonts w:ascii="Calibri" w:hAnsi="Calibri"/>
                <w:color w:val="202124"/>
                <w:sz w:val="18"/>
              </w:rPr>
              <w:t>POST /api/orders</w:t>
            </w:r>
          </w:p>
        </w:tc>
        <w:tc>
          <w:tcPr>
            <w:tcW w:type="dxa" w:w="2600"/>
          </w:tcPr>
          <w:p>
            <w:pPr>
              <w:spacing w:after="0"/>
            </w:pPr>
            <w:r>
              <w:rPr>
                <w:rFonts w:ascii="Calibri" w:hAnsi="Calibri"/>
                <w:color w:val="202124"/>
                <w:sz w:val="18"/>
              </w:rPr>
              <w:t>Public with rate limit</w:t>
            </w:r>
          </w:p>
        </w:tc>
        <w:tc>
          <w:tcPr>
            <w:tcW w:type="dxa" w:w="3760"/>
          </w:tcPr>
          <w:p>
            <w:pPr>
              <w:spacing w:after="0"/>
            </w:pPr>
            <w:r>
              <w:rPr>
                <w:rFonts w:ascii="Calibri" w:hAnsi="Calibri"/>
                <w:color w:val="202124"/>
                <w:sz w:val="18"/>
              </w:rPr>
              <w:t>Creates pending online order; starts STK only when configured.</w:t>
            </w:r>
          </w:p>
        </w:tc>
      </w:tr>
      <w:tr>
        <w:tc>
          <w:tcPr>
            <w:tcW w:type="dxa" w:w="3000"/>
          </w:tcPr>
          <w:p>
            <w:pPr>
              <w:spacing w:after="0"/>
            </w:pPr>
            <w:r>
              <w:rPr>
                <w:rFonts w:ascii="Calibri" w:hAnsi="Calibri"/>
                <w:color w:val="202124"/>
                <w:sz w:val="18"/>
              </w:rPr>
              <w:t>POST /api/pos/checkout</w:t>
            </w:r>
          </w:p>
        </w:tc>
        <w:tc>
          <w:tcPr>
            <w:tcW w:type="dxa" w:w="2600"/>
          </w:tcPr>
          <w:p>
            <w:pPr>
              <w:spacing w:after="0"/>
            </w:pPr>
            <w:r>
              <w:rPr>
                <w:rFonts w:ascii="Calibri" w:hAnsi="Calibri"/>
                <w:color w:val="202124"/>
                <w:sz w:val="18"/>
              </w:rPr>
              <w:t>Active POS session bearer token</w:t>
            </w:r>
          </w:p>
        </w:tc>
        <w:tc>
          <w:tcPr>
            <w:tcW w:type="dxa" w:w="3760"/>
          </w:tcPr>
          <w:p>
            <w:pPr>
              <w:spacing w:after="0"/>
            </w:pPr>
            <w:r>
              <w:rPr>
                <w:rFonts w:ascii="Calibri" w:hAnsi="Calibri"/>
                <w:color w:val="202124"/>
                <w:sz w:val="18"/>
              </w:rPr>
              <w:t>Calculates counter total server-side; starts STK for M-Pesa.</w:t>
            </w:r>
          </w:p>
        </w:tc>
      </w:tr>
      <w:tr>
        <w:tc>
          <w:tcPr>
            <w:tcW w:type="dxa" w:w="3000"/>
          </w:tcPr>
          <w:p>
            <w:pPr>
              <w:spacing w:after="0"/>
            </w:pPr>
            <w:r>
              <w:rPr>
                <w:rFonts w:ascii="Calibri" w:hAnsi="Calibri"/>
                <w:color w:val="202124"/>
                <w:sz w:val="18"/>
              </w:rPr>
              <w:t>POST /api/orders/mpesa-callback</w:t>
            </w:r>
          </w:p>
        </w:tc>
        <w:tc>
          <w:tcPr>
            <w:tcW w:type="dxa" w:w="2600"/>
          </w:tcPr>
          <w:p>
            <w:pPr>
              <w:spacing w:after="0"/>
            </w:pPr>
            <w:r>
              <w:rPr>
                <w:rFonts w:ascii="Calibri" w:hAnsi="Calibri"/>
                <w:color w:val="202124"/>
                <w:sz w:val="18"/>
              </w:rPr>
              <w:t>Callback secret query token + strict payload validation</w:t>
            </w:r>
          </w:p>
        </w:tc>
        <w:tc>
          <w:tcPr>
            <w:tcW w:type="dxa" w:w="3760"/>
          </w:tcPr>
          <w:p>
            <w:pPr>
              <w:spacing w:after="0"/>
            </w:pPr>
            <w:r>
              <w:rPr>
                <w:rFonts w:ascii="Calibri" w:hAnsi="Calibri"/>
                <w:color w:val="202124"/>
                <w:sz w:val="18"/>
              </w:rPr>
              <w:t>Processes verified M-Pesa result; never trusts client data.</w:t>
            </w:r>
          </w:p>
        </w:tc>
      </w:tr>
      <w:tr>
        <w:tc>
          <w:tcPr>
            <w:tcW w:type="dxa" w:w="3000"/>
          </w:tcPr>
          <w:p>
            <w:pPr>
              <w:spacing w:after="0"/>
            </w:pPr>
            <w:r>
              <w:rPr>
                <w:rFonts w:ascii="Calibri" w:hAnsi="Calibri"/>
                <w:color w:val="202124"/>
                <w:sz w:val="18"/>
              </w:rPr>
              <w:t>GET /api/pos/payment-notifications</w:t>
            </w:r>
          </w:p>
        </w:tc>
        <w:tc>
          <w:tcPr>
            <w:tcW w:type="dxa" w:w="2600"/>
          </w:tcPr>
          <w:p>
            <w:pPr>
              <w:spacing w:after="0"/>
            </w:pPr>
            <w:r>
              <w:rPr>
                <w:rFonts w:ascii="Calibri" w:hAnsi="Calibri"/>
                <w:color w:val="202124"/>
                <w:sz w:val="18"/>
              </w:rPr>
              <w:t>Active POS session bearer token</w:t>
            </w:r>
          </w:p>
        </w:tc>
        <w:tc>
          <w:tcPr>
            <w:tcW w:type="dxa" w:w="3760"/>
          </w:tcPr>
          <w:p>
            <w:pPr>
              <w:spacing w:after="0"/>
            </w:pPr>
            <w:r>
              <w:rPr>
                <w:rFonts w:ascii="Calibri" w:hAnsi="Calibri"/>
                <w:color w:val="202124"/>
                <w:sz w:val="18"/>
              </w:rPr>
              <w:t>Returns and acknowledges unacknowledged payment alerts.</w:t>
            </w:r>
          </w:p>
        </w:tc>
      </w:tr>
      <w:tr>
        <w:tc>
          <w:tcPr>
            <w:tcW w:type="dxa" w:w="3000"/>
          </w:tcPr>
          <w:p>
            <w:pPr>
              <w:spacing w:after="0"/>
            </w:pPr>
            <w:r>
              <w:rPr>
                <w:rFonts w:ascii="Calibri" w:hAnsi="Calibri"/>
                <w:color w:val="202124"/>
                <w:sz w:val="18"/>
              </w:rPr>
              <w:t>GET /api/orders/:orderNumber</w:t>
            </w:r>
          </w:p>
        </w:tc>
        <w:tc>
          <w:tcPr>
            <w:tcW w:type="dxa" w:w="2600"/>
          </w:tcPr>
          <w:p>
            <w:pPr>
              <w:spacing w:after="0"/>
            </w:pPr>
            <w:r>
              <w:rPr>
                <w:rFonts w:ascii="Calibri" w:hAnsi="Calibri"/>
                <w:color w:val="202124"/>
                <w:sz w:val="18"/>
              </w:rPr>
              <w:t>One-time tracking token</w:t>
            </w:r>
          </w:p>
        </w:tc>
        <w:tc>
          <w:tcPr>
            <w:tcW w:type="dxa" w:w="3760"/>
          </w:tcPr>
          <w:p>
            <w:pPr>
              <w:spacing w:after="0"/>
            </w:pPr>
            <w:r>
              <w:rPr>
                <w:rFonts w:ascii="Calibri" w:hAnsi="Calibri"/>
                <w:color w:val="202124"/>
                <w:sz w:val="18"/>
              </w:rPr>
              <w:t>Returns customer order status without exposing other orders.</w:t>
            </w:r>
          </w:p>
        </w:tc>
      </w:tr>
      <w:tr>
        <w:tc>
          <w:tcPr>
            <w:tcW w:type="dxa" w:w="3000"/>
          </w:tcPr>
          <w:p>
            <w:pPr>
              <w:spacing w:after="0"/>
            </w:pPr>
            <w:r>
              <w:rPr>
                <w:rFonts w:ascii="Calibri" w:hAnsi="Calibri"/>
                <w:color w:val="202124"/>
                <w:sz w:val="18"/>
              </w:rPr>
              <w:t>/api/products, /api/coupons, /api/settings</w:t>
            </w:r>
          </w:p>
        </w:tc>
        <w:tc>
          <w:tcPr>
            <w:tcW w:type="dxa" w:w="2600"/>
          </w:tcPr>
          <w:p>
            <w:pPr>
              <w:spacing w:after="0"/>
            </w:pPr>
            <w:r>
              <w:rPr>
                <w:rFonts w:ascii="Calibri" w:hAnsi="Calibri"/>
                <w:color w:val="202124"/>
                <w:sz w:val="18"/>
              </w:rPr>
              <w:t>Public read / owner write as applicable</w:t>
            </w:r>
          </w:p>
        </w:tc>
        <w:tc>
          <w:tcPr>
            <w:tcW w:type="dxa" w:w="3760"/>
          </w:tcPr>
          <w:p>
            <w:pPr>
              <w:spacing w:after="0"/>
            </w:pPr>
            <w:r>
              <w:rPr>
                <w:rFonts w:ascii="Calibri" w:hAnsi="Calibri"/>
                <w:color w:val="202124"/>
                <w:sz w:val="18"/>
              </w:rPr>
              <w:t>Catalogue, promotion and store configuration services.</w:t>
            </w:r>
          </w:p>
        </w:tc>
      </w:tr>
      <w:tr>
        <w:tc>
          <w:tcPr>
            <w:tcW w:type="dxa" w:w="3000"/>
          </w:tcPr>
          <w:p>
            <w:pPr>
              <w:spacing w:after="0"/>
            </w:pPr>
            <w:r>
              <w:rPr>
                <w:rFonts w:ascii="Calibri" w:hAnsi="Calibri"/>
                <w:color w:val="202124"/>
                <w:sz w:val="18"/>
              </w:rPr>
              <w:t>/api/admin and protected owner routes</w:t>
            </w:r>
          </w:p>
        </w:tc>
        <w:tc>
          <w:tcPr>
            <w:tcW w:type="dxa" w:w="2600"/>
          </w:tcPr>
          <w:p>
            <w:pPr>
              <w:spacing w:after="0"/>
            </w:pPr>
            <w:r>
              <w:rPr>
                <w:rFonts w:ascii="Calibri" w:hAnsi="Calibri"/>
                <w:color w:val="202124"/>
                <w:sz w:val="18"/>
              </w:rPr>
              <w:t>Owner bearer token</w:t>
            </w:r>
          </w:p>
        </w:tc>
        <w:tc>
          <w:tcPr>
            <w:tcW w:type="dxa" w:w="3760"/>
          </w:tcPr>
          <w:p>
            <w:pPr>
              <w:spacing w:after="0"/>
            </w:pPr>
            <w:r>
              <w:rPr>
                <w:rFonts w:ascii="Calibri" w:hAnsi="Calibri"/>
                <w:color w:val="202124"/>
                <w:sz w:val="18"/>
              </w:rPr>
              <w:t>Administration, reporting, inventory and POS authorisation.</w:t>
            </w:r>
          </w:p>
        </w:tc>
      </w:tr>
    </w:tbl>
    <w:p>
      <w:pPr>
        <w:spacing w:after="60"/>
      </w:pPr>
    </w:p>
    <w:p>
      <w:pPr>
        <w:pStyle w:val="Heading1"/>
      </w:pPr>
      <w:r>
        <w:t>6. Callback validation rules</w:t>
      </w:r>
    </w:p>
    <w:p>
      <w:pPr>
        <w:pStyle w:val="ListBullet"/>
        <w:spacing w:after="80" w:line="280" w:lineRule="auto"/>
        <w:ind w:left="720" w:hanging="360"/>
      </w:pPr>
      <w:r>
        <w:rPr>
          <w:rFonts w:ascii="Calibri" w:hAnsi="Calibri"/>
          <w:color w:val="202124"/>
          <w:sz w:val="22"/>
        </w:rPr>
        <w:t>Reject callback unless M-Pesa integration is configured and the callback secret matches in constant time.</w:t>
      </w:r>
    </w:p>
    <w:p>
      <w:pPr>
        <w:pStyle w:val="ListBullet"/>
        <w:spacing w:after="80" w:line="280" w:lineRule="auto"/>
        <w:ind w:left="720" w:hanging="360"/>
      </w:pPr>
      <w:r>
        <w:rPr>
          <w:rFonts w:ascii="Calibri" w:hAnsi="Calibri"/>
          <w:color w:val="202124"/>
          <w:sz w:val="22"/>
        </w:rPr>
        <w:t>Accept only a strict, expected callback shape; reject malformed bodies.</w:t>
      </w:r>
    </w:p>
    <w:p>
      <w:pPr>
        <w:pStyle w:val="ListBullet"/>
        <w:spacing w:after="80" w:line="280" w:lineRule="auto"/>
        <w:ind w:left="720" w:hanging="360"/>
      </w:pPr>
      <w:r>
        <w:rPr>
          <w:rFonts w:ascii="Calibri" w:hAnsi="Calibri"/>
          <w:color w:val="202124"/>
          <w:sz w:val="22"/>
        </w:rPr>
        <w:t>Look up transaction by CheckoutRequestID and require matching MerchantRequestID.</w:t>
      </w:r>
    </w:p>
    <w:p>
      <w:pPr>
        <w:pStyle w:val="ListBullet"/>
        <w:spacing w:after="80" w:line="280" w:lineRule="auto"/>
        <w:ind w:left="720" w:hanging="360"/>
      </w:pPr>
      <w:r>
        <w:rPr>
          <w:rFonts w:ascii="Calibri" w:hAnsi="Calibri"/>
          <w:color w:val="202124"/>
          <w:sz w:val="22"/>
        </w:rPr>
        <w:t>For successful callbacks, require a valid receipt, exact order amount and normalized payer phone match.</w:t>
      </w:r>
    </w:p>
    <w:p>
      <w:pPr>
        <w:pStyle w:val="ListBullet"/>
        <w:spacing w:after="80" w:line="280" w:lineRule="auto"/>
        <w:ind w:left="720" w:hanging="360"/>
      </w:pPr>
      <w:r>
        <w:rPr>
          <w:rFonts w:ascii="Calibri" w:hAnsi="Calibri"/>
          <w:color w:val="202124"/>
          <w:sz w:val="22"/>
        </w:rPr>
        <w:t>Treat mismatches as review cases; do not mark paid or emit a POS alert.</w:t>
      </w:r>
    </w:p>
    <w:p>
      <w:pPr>
        <w:pStyle w:val="ListBullet"/>
        <w:spacing w:after="80" w:line="280" w:lineRule="auto"/>
        <w:ind w:left="720" w:hanging="360"/>
      </w:pPr>
      <w:r>
        <w:rPr>
          <w:rFonts w:ascii="Calibri" w:hAnsi="Calibri"/>
          <w:color w:val="202124"/>
          <w:sz w:val="22"/>
        </w:rPr>
        <w:t>Enforce unique receipt/request IDs so duplicate deliveries cannot pay twice.</w:t>
      </w:r>
    </w:p>
    <w:p>
      <w:pPr>
        <w:pStyle w:val="Heading1"/>
      </w:pPr>
      <w:r>
        <w:t>7. Failure and recovery behaviour</w:t>
      </w:r>
    </w:p>
    <w:tbl>
      <w:tblPr>
        <w:tblStyle w:val="TableGrid"/>
        <w:tblW w:type="dxa" w:w="9360"/>
        <w:tblLook w:firstColumn="1" w:firstRow="1" w:lastColumn="0" w:lastRow="0" w:noHBand="0" w:noVBand="1" w:val="04A0"/>
        <w:tblInd w:w="120" w:type="dxa"/>
        <w:tblLayout w:type="fixed"/>
      </w:tblPr>
      <w:tblGrid>
        <w:gridCol w:w="2400"/>
        <w:gridCol w:w="4400"/>
        <w:gridCol w:w="2560"/>
      </w:tblGrid>
      <w:tr>
        <w:tc>
          <w:tcPr>
            <w:tcW w:type="dxa" w:w="2400"/>
            <w:tcMar>
              <w:top w:w="80" w:type="dxa"/>
              <w:start w:w="120" w:type="dxa"/>
              <w:bottom w:w="80" w:type="dxa"/>
              <w:end w:w="120" w:type="dxa"/>
            </w:tcMar>
            <w:vAlign w:val="center"/>
            <w:shd w:fill="F2F4F7"/>
          </w:tcPr>
          <w:p>
            <w:pPr>
              <w:spacing w:after="0"/>
            </w:pPr>
            <w:r>
              <w:rPr>
                <w:rFonts w:ascii="Calibri" w:hAnsi="Calibri"/>
                <w:b/>
                <w:color w:val="0B2545"/>
                <w:sz w:val="18"/>
              </w:rPr>
              <w:t>Situation</w:t>
            </w:r>
          </w:p>
        </w:tc>
        <w:tc>
          <w:tcPr>
            <w:tcW w:type="dxa" w:w="4400"/>
            <w:tcMar>
              <w:top w:w="80" w:type="dxa"/>
              <w:start w:w="120" w:type="dxa"/>
              <w:bottom w:w="80" w:type="dxa"/>
              <w:end w:w="120" w:type="dxa"/>
            </w:tcMar>
            <w:vAlign w:val="center"/>
            <w:shd w:fill="F2F4F7"/>
          </w:tcPr>
          <w:p>
            <w:pPr>
              <w:spacing w:after="0"/>
            </w:pPr>
            <w:r>
              <w:rPr>
                <w:rFonts w:ascii="Calibri" w:hAnsi="Calibri"/>
                <w:b/>
                <w:color w:val="0B2545"/>
                <w:sz w:val="18"/>
              </w:rPr>
              <w:t>System response</w:t>
            </w:r>
          </w:p>
        </w:tc>
        <w:tc>
          <w:tcPr>
            <w:tcW w:type="dxa" w:w="2560"/>
            <w:tcMar>
              <w:top w:w="80" w:type="dxa"/>
              <w:start w:w="120" w:type="dxa"/>
              <w:bottom w:w="80" w:type="dxa"/>
              <w:end w:w="120" w:type="dxa"/>
            </w:tcMar>
            <w:vAlign w:val="center"/>
            <w:shd w:fill="F2F4F7"/>
          </w:tcPr>
          <w:p>
            <w:pPr>
              <w:spacing w:after="0"/>
            </w:pPr>
            <w:r>
              <w:rPr>
                <w:rFonts w:ascii="Calibri" w:hAnsi="Calibri"/>
                <w:b/>
                <w:color w:val="0B2545"/>
                <w:sz w:val="18"/>
              </w:rPr>
              <w:t>Owner action</w:t>
            </w:r>
          </w:p>
        </w:tc>
      </w:tr>
      <w:tr>
        <w:tc>
          <w:tcPr>
            <w:tcW w:type="dxa" w:w="2400"/>
          </w:tcPr>
          <w:p>
            <w:pPr>
              <w:spacing w:after="0"/>
            </w:pPr>
            <w:r>
              <w:rPr>
                <w:rFonts w:ascii="Calibri" w:hAnsi="Calibri"/>
                <w:color w:val="202124"/>
                <w:sz w:val="18"/>
              </w:rPr>
              <w:t>Customer cancels / provider reports failure</w:t>
            </w:r>
          </w:p>
        </w:tc>
        <w:tc>
          <w:tcPr>
            <w:tcW w:type="dxa" w:w="4400"/>
          </w:tcPr>
          <w:p>
            <w:pPr>
              <w:spacing w:after="0"/>
            </w:pPr>
            <w:r>
              <w:rPr>
                <w:rFonts w:ascii="Calibri" w:hAnsi="Calibri"/>
                <w:color w:val="202124"/>
                <w:sz w:val="18"/>
              </w:rPr>
              <w:t>Mark FAILED; restore reserved stock once; write audit log.</w:t>
            </w:r>
          </w:p>
        </w:tc>
        <w:tc>
          <w:tcPr>
            <w:tcW w:type="dxa" w:w="2560"/>
          </w:tcPr>
          <w:p>
            <w:pPr>
              <w:spacing w:after="0"/>
            </w:pPr>
            <w:r>
              <w:rPr>
                <w:rFonts w:ascii="Calibri" w:hAnsi="Calibri"/>
                <w:color w:val="202124"/>
                <w:sz w:val="18"/>
              </w:rPr>
              <w:t>Cashier may retry only with a new payment request.</w:t>
            </w:r>
          </w:p>
        </w:tc>
      </w:tr>
      <w:tr>
        <w:tc>
          <w:tcPr>
            <w:tcW w:type="dxa" w:w="2400"/>
          </w:tcPr>
          <w:p>
            <w:pPr>
              <w:spacing w:after="0"/>
            </w:pPr>
            <w:r>
              <w:rPr>
                <w:rFonts w:ascii="Calibri" w:hAnsi="Calibri"/>
                <w:color w:val="202124"/>
                <w:sz w:val="18"/>
              </w:rPr>
              <w:t>Callback data mismatch</w:t>
            </w:r>
          </w:p>
        </w:tc>
        <w:tc>
          <w:tcPr>
            <w:tcW w:type="dxa" w:w="4400"/>
          </w:tcPr>
          <w:p>
            <w:pPr>
              <w:spacing w:after="0"/>
            </w:pPr>
            <w:r>
              <w:rPr>
                <w:rFonts w:ascii="Calibri" w:hAnsi="Calibri"/>
                <w:color w:val="202124"/>
                <w:sz w:val="18"/>
              </w:rPr>
              <w:t>Leave payment PENDING; write review audit event; no alert.</w:t>
            </w:r>
          </w:p>
        </w:tc>
        <w:tc>
          <w:tcPr>
            <w:tcW w:type="dxa" w:w="2560"/>
          </w:tcPr>
          <w:p>
            <w:pPr>
              <w:spacing w:after="0"/>
            </w:pPr>
            <w:r>
              <w:rPr>
                <w:rFonts w:ascii="Calibri" w:hAnsi="Calibri"/>
                <w:color w:val="202124"/>
                <w:sz w:val="18"/>
              </w:rPr>
              <w:t>Owner verifies against provider before manual resolution.</w:t>
            </w:r>
          </w:p>
        </w:tc>
      </w:tr>
      <w:tr>
        <w:tc>
          <w:tcPr>
            <w:tcW w:type="dxa" w:w="2400"/>
          </w:tcPr>
          <w:p>
            <w:pPr>
              <w:spacing w:after="0"/>
            </w:pPr>
            <w:r>
              <w:rPr>
                <w:rFonts w:ascii="Calibri" w:hAnsi="Calibri"/>
                <w:color w:val="202124"/>
                <w:sz w:val="18"/>
              </w:rPr>
              <w:t>POS offline after confirmation</w:t>
            </w:r>
          </w:p>
        </w:tc>
        <w:tc>
          <w:tcPr>
            <w:tcW w:type="dxa" w:w="4400"/>
          </w:tcPr>
          <w:p>
            <w:pPr>
              <w:spacing w:after="0"/>
            </w:pPr>
            <w:r>
              <w:rPr>
                <w:rFonts w:ascii="Calibri" w:hAnsi="Calibri"/>
                <w:color w:val="202124"/>
                <w:sz w:val="18"/>
              </w:rPr>
              <w:t>Keep notification unacknowledged in database.</w:t>
            </w:r>
          </w:p>
        </w:tc>
        <w:tc>
          <w:tcPr>
            <w:tcW w:type="dxa" w:w="2560"/>
          </w:tcPr>
          <w:p>
            <w:pPr>
              <w:spacing w:after="0"/>
            </w:pPr>
            <w:r>
              <w:rPr>
                <w:rFonts w:ascii="Calibri" w:hAnsi="Calibri"/>
                <w:color w:val="202124"/>
                <w:sz w:val="18"/>
              </w:rPr>
              <w:t>POS receives popup when it reconnects.</w:t>
            </w:r>
          </w:p>
        </w:tc>
      </w:tr>
      <w:tr>
        <w:tc>
          <w:tcPr>
            <w:tcW w:type="dxa" w:w="2400"/>
          </w:tcPr>
          <w:p>
            <w:pPr>
              <w:spacing w:after="0"/>
            </w:pPr>
            <w:r>
              <w:rPr>
                <w:rFonts w:ascii="Calibri" w:hAnsi="Calibri"/>
                <w:color w:val="202124"/>
                <w:sz w:val="18"/>
              </w:rPr>
              <w:t>Daraja unavailable before request starts</w:t>
            </w:r>
          </w:p>
        </w:tc>
        <w:tc>
          <w:tcPr>
            <w:tcW w:type="dxa" w:w="4400"/>
          </w:tcPr>
          <w:p>
            <w:pPr>
              <w:spacing w:after="0"/>
            </w:pPr>
            <w:r>
              <w:rPr>
                <w:rFonts w:ascii="Calibri" w:hAnsi="Calibri"/>
                <w:color w:val="202124"/>
                <w:sz w:val="18"/>
              </w:rPr>
              <w:t>Keep pending record; do not claim payment success.</w:t>
            </w:r>
          </w:p>
        </w:tc>
        <w:tc>
          <w:tcPr>
            <w:tcW w:type="dxa" w:w="2560"/>
          </w:tcPr>
          <w:p>
            <w:pPr>
              <w:spacing w:after="0"/>
            </w:pPr>
            <w:r>
              <w:rPr>
                <w:rFonts w:ascii="Calibri" w:hAnsi="Calibri"/>
                <w:color w:val="202124"/>
                <w:sz w:val="18"/>
              </w:rPr>
              <w:t>Owner reviews or retries using controlled process.</w:t>
            </w:r>
          </w:p>
        </w:tc>
      </w:tr>
      <w:tr>
        <w:tc>
          <w:tcPr>
            <w:tcW w:type="dxa" w:w="2400"/>
          </w:tcPr>
          <w:p>
            <w:pPr>
              <w:spacing w:after="0"/>
            </w:pPr>
            <w:r>
              <w:rPr>
                <w:rFonts w:ascii="Calibri" w:hAnsi="Calibri"/>
                <w:color w:val="202124"/>
                <w:sz w:val="18"/>
              </w:rPr>
              <w:t>Duplicate callback</w:t>
            </w:r>
          </w:p>
        </w:tc>
        <w:tc>
          <w:tcPr>
            <w:tcW w:type="dxa" w:w="4400"/>
          </w:tcPr>
          <w:p>
            <w:pPr>
              <w:spacing w:after="0"/>
            </w:pPr>
            <w:r>
              <w:rPr>
                <w:rFonts w:ascii="Calibri" w:hAnsi="Calibri"/>
                <w:color w:val="202124"/>
                <w:sz w:val="18"/>
              </w:rPr>
              <w:t>Detect PAID/unique receipt and return idempotent result.</w:t>
            </w:r>
          </w:p>
        </w:tc>
        <w:tc>
          <w:tcPr>
            <w:tcW w:type="dxa" w:w="2560"/>
          </w:tcPr>
          <w:p>
            <w:pPr>
              <w:spacing w:after="0"/>
            </w:pPr>
            <w:r>
              <w:rPr>
                <w:rFonts w:ascii="Calibri" w:hAnsi="Calibri"/>
                <w:color w:val="202124"/>
                <w:sz w:val="18"/>
              </w:rPr>
              <w:t>No action required.</w:t>
            </w:r>
          </w:p>
        </w:tc>
      </w:tr>
    </w:tbl>
    <w:p>
      <w:pPr>
        <w:spacing w:after="60"/>
      </w:pPr>
    </w:p>
    <w:p>
      <w:pPr>
        <w:pStyle w:val="Heading1"/>
      </w:pPr>
      <w:r>
        <w:t>8. Security and configuration</w:t>
      </w:r>
    </w:p>
    <w:p>
      <w:pPr>
        <w:pStyle w:val="ListBullet"/>
        <w:spacing w:after="80" w:line="280" w:lineRule="auto"/>
        <w:ind w:left="720" w:hanging="360"/>
      </w:pPr>
      <w:r>
        <w:rPr>
          <w:rFonts w:ascii="Calibri" w:hAnsi="Calibri"/>
          <w:color w:val="202124"/>
          <w:sz w:val="22"/>
        </w:rPr>
        <w:t>Use HTTPS for production callback URL and restrict API CORS origins to deployed storefront/admin/POS domains.</w:t>
      </w:r>
    </w:p>
    <w:p>
      <w:pPr>
        <w:pStyle w:val="ListBullet"/>
        <w:spacing w:after="80" w:line="280" w:lineRule="auto"/>
        <w:ind w:left="720" w:hanging="360"/>
      </w:pPr>
      <w:r>
        <w:rPr>
          <w:rFonts w:ascii="Calibri" w:hAnsi="Calibri"/>
          <w:color w:val="202124"/>
          <w:sz w:val="22"/>
        </w:rPr>
        <w:t>Store MPESA_CONSUMER_KEY, MPESA_CONSUMER_SECRET, MPESA_PASSKEY and MPESA_CALLBACK_SECRET only in a secret manager.</w:t>
      </w:r>
    </w:p>
    <w:p>
      <w:pPr>
        <w:pStyle w:val="ListBullet"/>
        <w:spacing w:after="80" w:line="280" w:lineRule="auto"/>
        <w:ind w:left="720" w:hanging="360"/>
      </w:pPr>
      <w:r>
        <w:rPr>
          <w:rFonts w:ascii="Calibri" w:hAnsi="Calibri"/>
          <w:color w:val="202124"/>
          <w:sz w:val="22"/>
        </w:rPr>
        <w:t>Use independent strong secrets for JWT, POS sessions and M-Pesa callback verification.</w:t>
      </w:r>
    </w:p>
    <w:p>
      <w:pPr>
        <w:pStyle w:val="ListBullet"/>
        <w:spacing w:after="80" w:line="280" w:lineRule="auto"/>
        <w:ind w:left="720" w:hanging="360"/>
      </w:pPr>
      <w:r>
        <w:rPr>
          <w:rFonts w:ascii="Calibri" w:hAnsi="Calibri"/>
          <w:color w:val="202124"/>
          <w:sz w:val="22"/>
        </w:rPr>
        <w:t>Do not log credentials, callback secrets or full access tokens.</w:t>
      </w:r>
    </w:p>
    <w:p>
      <w:pPr>
        <w:pStyle w:val="ListBullet"/>
        <w:spacing w:after="80" w:line="280" w:lineRule="auto"/>
        <w:ind w:left="720" w:hanging="360"/>
      </w:pPr>
      <w:r>
        <w:rPr>
          <w:rFonts w:ascii="Calibri" w:hAnsi="Calibri"/>
          <w:color w:val="202124"/>
          <w:sz w:val="22"/>
        </w:rPr>
        <w:t>Rate-limit public checkout routes; cap payload sizes and validate every input with strict schemas.</w:t>
      </w:r>
    </w:p>
    <w:p>
      <w:pPr>
        <w:pStyle w:val="ListBullet"/>
        <w:spacing w:after="80" w:line="280" w:lineRule="auto"/>
        <w:ind w:left="720" w:hanging="360"/>
      </w:pPr>
      <w:r>
        <w:rPr>
          <w:rFonts w:ascii="Calibri" w:hAnsi="Calibri"/>
          <w:color w:val="202124"/>
          <w:sz w:val="22"/>
        </w:rPr>
        <w:t>Keep browser admin/POS tokens in memory and protect POS notification polling with an active session token.</w:t>
      </w:r>
    </w:p>
    <w:p>
      <w:pPr>
        <w:pStyle w:val="Heading1"/>
      </w:pPr>
      <w:r>
        <w:t>9. Required environment variables</w:t>
      </w:r>
    </w:p>
    <w:tbl>
      <w:tblPr>
        <w:tblStyle w:val="TableGrid"/>
        <w:tblW w:type="dxa" w:w="9360"/>
        <w:tblLook w:firstColumn="1" w:firstRow="1" w:lastColumn="0" w:lastRow="0" w:noHBand="0" w:noVBand="1" w:val="04A0"/>
        <w:tblInd w:w="120" w:type="dxa"/>
        <w:tblLayout w:type="fixed"/>
      </w:tblPr>
      <w:tblGrid>
        <w:gridCol w:w="3400"/>
        <w:gridCol w:w="2200"/>
        <w:gridCol w:w="3760"/>
      </w:tblGrid>
      <w:tr>
        <w:tc>
          <w:tcPr>
            <w:tcW w:type="dxa" w:w="3400"/>
            <w:tcMar>
              <w:top w:w="80" w:type="dxa"/>
              <w:start w:w="120" w:type="dxa"/>
              <w:bottom w:w="80" w:type="dxa"/>
              <w:end w:w="120" w:type="dxa"/>
            </w:tcMar>
            <w:vAlign w:val="center"/>
            <w:shd w:fill="F2F4F7"/>
          </w:tcPr>
          <w:p>
            <w:pPr>
              <w:spacing w:after="0"/>
            </w:pPr>
            <w:r>
              <w:rPr>
                <w:rFonts w:ascii="Calibri" w:hAnsi="Calibri"/>
                <w:b/>
                <w:color w:val="0B2545"/>
                <w:sz w:val="18"/>
              </w:rPr>
              <w:t>Variable</w:t>
            </w:r>
          </w:p>
        </w:tc>
        <w:tc>
          <w:tcPr>
            <w:tcW w:type="dxa" w:w="2200"/>
            <w:tcMar>
              <w:top w:w="80" w:type="dxa"/>
              <w:start w:w="120" w:type="dxa"/>
              <w:bottom w:w="80" w:type="dxa"/>
              <w:end w:w="120" w:type="dxa"/>
            </w:tcMar>
            <w:vAlign w:val="center"/>
            <w:shd w:fill="F2F4F7"/>
          </w:tcPr>
          <w:p>
            <w:pPr>
              <w:spacing w:after="0"/>
            </w:pPr>
            <w:r>
              <w:rPr>
                <w:rFonts w:ascii="Calibri" w:hAnsi="Calibri"/>
                <w:b/>
                <w:color w:val="0B2545"/>
                <w:sz w:val="18"/>
              </w:rPr>
              <w:t>Required in production</w:t>
            </w:r>
          </w:p>
        </w:tc>
        <w:tc>
          <w:tcPr>
            <w:tcW w:type="dxa" w:w="3760"/>
            <w:tcMar>
              <w:top w:w="80" w:type="dxa"/>
              <w:start w:w="120" w:type="dxa"/>
              <w:bottom w:w="80" w:type="dxa"/>
              <w:end w:w="120" w:type="dxa"/>
            </w:tcMar>
            <w:vAlign w:val="center"/>
            <w:shd w:fill="F2F4F7"/>
          </w:tcPr>
          <w:p>
            <w:pPr>
              <w:spacing w:after="0"/>
            </w:pPr>
            <w:r>
              <w:rPr>
                <w:rFonts w:ascii="Calibri" w:hAnsi="Calibri"/>
                <w:b/>
                <w:color w:val="0B2545"/>
                <w:sz w:val="18"/>
              </w:rPr>
              <w:t>Purpose</w:t>
            </w:r>
          </w:p>
        </w:tc>
      </w:tr>
      <w:tr>
        <w:tc>
          <w:tcPr>
            <w:tcW w:type="dxa" w:w="3400"/>
          </w:tcPr>
          <w:p>
            <w:pPr>
              <w:spacing w:after="0"/>
            </w:pPr>
            <w:r>
              <w:rPr>
                <w:rFonts w:ascii="Calibri" w:hAnsi="Calibri"/>
                <w:color w:val="202124"/>
                <w:sz w:val="18"/>
              </w:rPr>
              <w:t>MPESA_ENV</w:t>
            </w:r>
          </w:p>
        </w:tc>
        <w:tc>
          <w:tcPr>
            <w:tcW w:type="dxa" w:w="2200"/>
          </w:tcPr>
          <w:p>
            <w:pPr>
              <w:spacing w:after="0"/>
            </w:pPr>
            <w:r>
              <w:rPr>
                <w:rFonts w:ascii="Calibri" w:hAnsi="Calibri"/>
                <w:color w:val="202124"/>
                <w:sz w:val="18"/>
              </w:rPr>
              <w:t>Yes</w:t>
            </w:r>
          </w:p>
        </w:tc>
        <w:tc>
          <w:tcPr>
            <w:tcW w:type="dxa" w:w="3760"/>
          </w:tcPr>
          <w:p>
            <w:pPr>
              <w:spacing w:after="0"/>
            </w:pPr>
            <w:r>
              <w:rPr>
                <w:rFonts w:ascii="Calibri" w:hAnsi="Calibri"/>
                <w:color w:val="202124"/>
                <w:sz w:val="18"/>
              </w:rPr>
              <w:t>sandbox or production provider endpoint selection</w:t>
            </w:r>
          </w:p>
        </w:tc>
      </w:tr>
      <w:tr>
        <w:tc>
          <w:tcPr>
            <w:tcW w:type="dxa" w:w="3400"/>
          </w:tcPr>
          <w:p>
            <w:pPr>
              <w:spacing w:after="0"/>
            </w:pPr>
            <w:r>
              <w:rPr>
                <w:rFonts w:ascii="Calibri" w:hAnsi="Calibri"/>
                <w:color w:val="202124"/>
                <w:sz w:val="18"/>
              </w:rPr>
              <w:t>MPESA_CONSUMER_KEY / MPESA_CONSUMER_SECRET</w:t>
            </w:r>
          </w:p>
        </w:tc>
        <w:tc>
          <w:tcPr>
            <w:tcW w:type="dxa" w:w="2200"/>
          </w:tcPr>
          <w:p>
            <w:pPr>
              <w:spacing w:after="0"/>
            </w:pPr>
            <w:r>
              <w:rPr>
                <w:rFonts w:ascii="Calibri" w:hAnsi="Calibri"/>
                <w:color w:val="202124"/>
                <w:sz w:val="18"/>
              </w:rPr>
              <w:t>Yes</w:t>
            </w:r>
          </w:p>
        </w:tc>
        <w:tc>
          <w:tcPr>
            <w:tcW w:type="dxa" w:w="3760"/>
          </w:tcPr>
          <w:p>
            <w:pPr>
              <w:spacing w:after="0"/>
            </w:pPr>
            <w:r>
              <w:rPr>
                <w:rFonts w:ascii="Calibri" w:hAnsi="Calibri"/>
                <w:color w:val="202124"/>
                <w:sz w:val="18"/>
              </w:rPr>
              <w:t>Daraja OAuth credentials</w:t>
            </w:r>
          </w:p>
        </w:tc>
      </w:tr>
      <w:tr>
        <w:tc>
          <w:tcPr>
            <w:tcW w:type="dxa" w:w="3400"/>
          </w:tcPr>
          <w:p>
            <w:pPr>
              <w:spacing w:after="0"/>
            </w:pPr>
            <w:r>
              <w:rPr>
                <w:rFonts w:ascii="Calibri" w:hAnsi="Calibri"/>
                <w:color w:val="202124"/>
                <w:sz w:val="18"/>
              </w:rPr>
              <w:t>MPESA_SHORTCODE / MPESA_PASSKEY</w:t>
            </w:r>
          </w:p>
        </w:tc>
        <w:tc>
          <w:tcPr>
            <w:tcW w:type="dxa" w:w="2200"/>
          </w:tcPr>
          <w:p>
            <w:pPr>
              <w:spacing w:after="0"/>
            </w:pPr>
            <w:r>
              <w:rPr>
                <w:rFonts w:ascii="Calibri" w:hAnsi="Calibri"/>
                <w:color w:val="202124"/>
                <w:sz w:val="18"/>
              </w:rPr>
              <w:t>Yes</w:t>
            </w:r>
          </w:p>
        </w:tc>
        <w:tc>
          <w:tcPr>
            <w:tcW w:type="dxa" w:w="3760"/>
          </w:tcPr>
          <w:p>
            <w:pPr>
              <w:spacing w:after="0"/>
            </w:pPr>
            <w:r>
              <w:rPr>
                <w:rFonts w:ascii="Calibri" w:hAnsi="Calibri"/>
                <w:color w:val="202124"/>
                <w:sz w:val="18"/>
              </w:rPr>
              <w:t>STK request identity and password</w:t>
            </w:r>
          </w:p>
        </w:tc>
      </w:tr>
      <w:tr>
        <w:tc>
          <w:tcPr>
            <w:tcW w:type="dxa" w:w="3400"/>
          </w:tcPr>
          <w:p>
            <w:pPr>
              <w:spacing w:after="0"/>
            </w:pPr>
            <w:r>
              <w:rPr>
                <w:rFonts w:ascii="Calibri" w:hAnsi="Calibri"/>
                <w:color w:val="202124"/>
                <w:sz w:val="18"/>
              </w:rPr>
              <w:t>MPESA_CALLBACK_URL</w:t>
            </w:r>
          </w:p>
        </w:tc>
        <w:tc>
          <w:tcPr>
            <w:tcW w:type="dxa" w:w="2200"/>
          </w:tcPr>
          <w:p>
            <w:pPr>
              <w:spacing w:after="0"/>
            </w:pPr>
            <w:r>
              <w:rPr>
                <w:rFonts w:ascii="Calibri" w:hAnsi="Calibri"/>
                <w:color w:val="202124"/>
                <w:sz w:val="18"/>
              </w:rPr>
              <w:t>Yes</w:t>
            </w:r>
          </w:p>
        </w:tc>
        <w:tc>
          <w:tcPr>
            <w:tcW w:type="dxa" w:w="3760"/>
          </w:tcPr>
          <w:p>
            <w:pPr>
              <w:spacing w:after="0"/>
            </w:pPr>
            <w:r>
              <w:rPr>
                <w:rFonts w:ascii="Calibri" w:hAnsi="Calibri"/>
                <w:color w:val="202124"/>
                <w:sz w:val="18"/>
              </w:rPr>
              <w:t>Public HTTPS callback endpoint</w:t>
            </w:r>
          </w:p>
        </w:tc>
      </w:tr>
      <w:tr>
        <w:tc>
          <w:tcPr>
            <w:tcW w:type="dxa" w:w="3400"/>
          </w:tcPr>
          <w:p>
            <w:pPr>
              <w:spacing w:after="0"/>
            </w:pPr>
            <w:r>
              <w:rPr>
                <w:rFonts w:ascii="Calibri" w:hAnsi="Calibri"/>
                <w:color w:val="202124"/>
                <w:sz w:val="18"/>
              </w:rPr>
              <w:t>MPESA_CALLBACK_SECRET</w:t>
            </w:r>
          </w:p>
        </w:tc>
        <w:tc>
          <w:tcPr>
            <w:tcW w:type="dxa" w:w="2200"/>
          </w:tcPr>
          <w:p>
            <w:pPr>
              <w:spacing w:after="0"/>
            </w:pPr>
            <w:r>
              <w:rPr>
                <w:rFonts w:ascii="Calibri" w:hAnsi="Calibri"/>
                <w:color w:val="202124"/>
                <w:sz w:val="18"/>
              </w:rPr>
              <w:t>Yes</w:t>
            </w:r>
          </w:p>
        </w:tc>
        <w:tc>
          <w:tcPr>
            <w:tcW w:type="dxa" w:w="3760"/>
          </w:tcPr>
          <w:p>
            <w:pPr>
              <w:spacing w:after="0"/>
            </w:pPr>
            <w:r>
              <w:rPr>
                <w:rFonts w:ascii="Calibri" w:hAnsi="Calibri"/>
                <w:color w:val="202124"/>
                <w:sz w:val="18"/>
              </w:rPr>
              <w:t>Protect callback URL from unauthorised requests</w:t>
            </w:r>
          </w:p>
        </w:tc>
      </w:tr>
      <w:tr>
        <w:tc>
          <w:tcPr>
            <w:tcW w:type="dxa" w:w="3400"/>
          </w:tcPr>
          <w:p>
            <w:pPr>
              <w:spacing w:after="0"/>
            </w:pPr>
            <w:r>
              <w:rPr>
                <w:rFonts w:ascii="Calibri" w:hAnsi="Calibri"/>
                <w:color w:val="202124"/>
                <w:sz w:val="18"/>
              </w:rPr>
              <w:t>DATABASE_URL, JWT_SECRET, POS_SESSION_SECRET</w:t>
            </w:r>
          </w:p>
        </w:tc>
        <w:tc>
          <w:tcPr>
            <w:tcW w:type="dxa" w:w="2200"/>
          </w:tcPr>
          <w:p>
            <w:pPr>
              <w:spacing w:after="0"/>
            </w:pPr>
            <w:r>
              <w:rPr>
                <w:rFonts w:ascii="Calibri" w:hAnsi="Calibri"/>
                <w:color w:val="202124"/>
                <w:sz w:val="18"/>
              </w:rPr>
              <w:t>Yes</w:t>
            </w:r>
          </w:p>
        </w:tc>
        <w:tc>
          <w:tcPr>
            <w:tcW w:type="dxa" w:w="3760"/>
          </w:tcPr>
          <w:p>
            <w:pPr>
              <w:spacing w:after="0"/>
            </w:pPr>
            <w:r>
              <w:rPr>
                <w:rFonts w:ascii="Calibri" w:hAnsi="Calibri"/>
                <w:color w:val="202124"/>
                <w:sz w:val="18"/>
              </w:rPr>
              <w:t>Data access and application sessions</w:t>
            </w:r>
          </w:p>
        </w:tc>
      </w:tr>
    </w:tbl>
    <w:p>
      <w:pPr>
        <w:spacing w:after="60"/>
      </w:pPr>
    </w:p>
    <w:p>
      <w:pPr>
        <w:pStyle w:val="Heading1"/>
      </w:pPr>
      <w:r>
        <w:t>10. Observability and operations</w:t>
      </w:r>
    </w:p>
    <w:p>
      <w:pPr>
        <w:pStyle w:val="ListBullet"/>
        <w:spacing w:after="80" w:line="280" w:lineRule="auto"/>
        <w:ind w:left="720" w:hanging="360"/>
      </w:pPr>
      <w:r>
        <w:rPr>
          <w:rFonts w:ascii="Calibri" w:hAnsi="Calibri"/>
          <w:color w:val="202124"/>
          <w:sz w:val="22"/>
        </w:rPr>
        <w:t>Log structured events for payment initiated, confirmed, failed, mismatch/review and notification delivered.</w:t>
      </w:r>
    </w:p>
    <w:p>
      <w:pPr>
        <w:pStyle w:val="ListBullet"/>
        <w:spacing w:after="80" w:line="280" w:lineRule="auto"/>
        <w:ind w:left="720" w:hanging="360"/>
      </w:pPr>
      <w:r>
        <w:rPr>
          <w:rFonts w:ascii="Calibri" w:hAnsi="Calibri"/>
          <w:color w:val="202124"/>
          <w:sz w:val="22"/>
        </w:rPr>
        <w:t>Monitor pending payments by age and alert owner if a payment remains pending beyond the agreed window.</w:t>
      </w:r>
    </w:p>
    <w:p>
      <w:pPr>
        <w:pStyle w:val="ListBullet"/>
        <w:spacing w:after="80" w:line="280" w:lineRule="auto"/>
        <w:ind w:left="720" w:hanging="360"/>
      </w:pPr>
      <w:r>
        <w:rPr>
          <w:rFonts w:ascii="Calibri" w:hAnsi="Calibri"/>
          <w:color w:val="202124"/>
          <w:sz w:val="22"/>
        </w:rPr>
        <w:t>Record audit entries for provider callback outcomes and manual owner status changes.</w:t>
      </w:r>
    </w:p>
    <w:p>
      <w:pPr>
        <w:pStyle w:val="ListBullet"/>
        <w:spacing w:after="80" w:line="280" w:lineRule="auto"/>
        <w:ind w:left="720" w:hanging="360"/>
      </w:pPr>
      <w:r>
        <w:rPr>
          <w:rFonts w:ascii="Calibri" w:hAnsi="Calibri"/>
          <w:color w:val="202124"/>
          <w:sz w:val="22"/>
        </w:rPr>
        <w:t>Back up PostgreSQL and protect migration/deployment history before launch.</w:t>
      </w:r>
    </w:p>
    <w:p>
      <w:pPr>
        <w:pStyle w:val="Heading1"/>
      </w:pPr>
      <w:r>
        <w:t>11. Test plan</w:t>
      </w:r>
    </w:p>
    <w:tbl>
      <w:tblPr>
        <w:tblStyle w:val="TableGrid"/>
        <w:tblW w:type="dxa" w:w="9360"/>
        <w:tblLook w:firstColumn="1" w:firstRow="1" w:lastColumn="0" w:lastRow="0" w:noHBand="0" w:noVBand="1" w:val="04A0"/>
        <w:tblInd w:w="120" w:type="dxa"/>
        <w:tblLayout w:type="fixed"/>
      </w:tblPr>
      <w:tblGrid>
        <w:gridCol w:w="4000"/>
        <w:gridCol w:w="5360"/>
      </w:tblGrid>
      <w:tr>
        <w:tc>
          <w:tcPr>
            <w:tcW w:type="dxa" w:w="4000"/>
            <w:tcMar>
              <w:top w:w="80" w:type="dxa"/>
              <w:start w:w="120" w:type="dxa"/>
              <w:bottom w:w="80" w:type="dxa"/>
              <w:end w:w="120" w:type="dxa"/>
            </w:tcMar>
            <w:vAlign w:val="center"/>
            <w:shd w:fill="F2F4F7"/>
          </w:tcPr>
          <w:p>
            <w:pPr>
              <w:spacing w:after="0"/>
            </w:pPr>
            <w:r>
              <w:rPr>
                <w:rFonts w:ascii="Calibri" w:hAnsi="Calibri"/>
                <w:b/>
                <w:color w:val="0B2545"/>
                <w:sz w:val="18"/>
              </w:rPr>
              <w:t>Test</w:t>
            </w:r>
          </w:p>
        </w:tc>
        <w:tc>
          <w:tcPr>
            <w:tcW w:type="dxa" w:w="5360"/>
            <w:tcMar>
              <w:top w:w="80" w:type="dxa"/>
              <w:start w:w="120" w:type="dxa"/>
              <w:bottom w:w="80" w:type="dxa"/>
              <w:end w:w="120" w:type="dxa"/>
            </w:tcMar>
            <w:vAlign w:val="center"/>
            <w:shd w:fill="F2F4F7"/>
          </w:tcPr>
          <w:p>
            <w:pPr>
              <w:spacing w:after="0"/>
            </w:pPr>
            <w:r>
              <w:rPr>
                <w:rFonts w:ascii="Calibri" w:hAnsi="Calibri"/>
                <w:b/>
                <w:color w:val="0B2545"/>
                <w:sz w:val="18"/>
              </w:rPr>
              <w:t>Expected result</w:t>
            </w:r>
          </w:p>
        </w:tc>
      </w:tr>
      <w:tr>
        <w:tc>
          <w:tcPr>
            <w:tcW w:type="dxa" w:w="4000"/>
          </w:tcPr>
          <w:p>
            <w:pPr>
              <w:spacing w:after="0"/>
            </w:pPr>
            <w:r>
              <w:rPr>
                <w:rFonts w:ascii="Calibri" w:hAnsi="Calibri"/>
                <w:color w:val="202124"/>
                <w:sz w:val="18"/>
              </w:rPr>
              <w:t>Successful website payment callback</w:t>
            </w:r>
          </w:p>
        </w:tc>
        <w:tc>
          <w:tcPr>
            <w:tcW w:type="dxa" w:w="5360"/>
          </w:tcPr>
          <w:p>
            <w:pPr>
              <w:spacing w:after="0"/>
            </w:pPr>
            <w:r>
              <w:rPr>
                <w:rFonts w:ascii="Calibri" w:hAnsi="Calibri"/>
                <w:color w:val="202124"/>
                <w:sz w:val="18"/>
              </w:rPr>
              <w:t>Order PAID, receipt stored, one POS popup notification.</w:t>
            </w:r>
          </w:p>
        </w:tc>
      </w:tr>
      <w:tr>
        <w:tc>
          <w:tcPr>
            <w:tcW w:type="dxa" w:w="4000"/>
          </w:tcPr>
          <w:p>
            <w:pPr>
              <w:spacing w:after="0"/>
            </w:pPr>
            <w:r>
              <w:rPr>
                <w:rFonts w:ascii="Calibri" w:hAnsi="Calibri"/>
                <w:color w:val="202124"/>
                <w:sz w:val="18"/>
              </w:rPr>
              <w:t>Successful physical POS payment callback</w:t>
            </w:r>
          </w:p>
        </w:tc>
        <w:tc>
          <w:tcPr>
            <w:tcW w:type="dxa" w:w="5360"/>
          </w:tcPr>
          <w:p>
            <w:pPr>
              <w:spacing w:after="0"/>
            </w:pPr>
            <w:r>
              <w:rPr>
                <w:rFonts w:ascii="Calibri" w:hAnsi="Calibri"/>
                <w:color w:val="202124"/>
                <w:sz w:val="18"/>
              </w:rPr>
              <w:t>Sale PAID, receipt stored, one POS popup notification.</w:t>
            </w:r>
          </w:p>
        </w:tc>
      </w:tr>
      <w:tr>
        <w:tc>
          <w:tcPr>
            <w:tcW w:type="dxa" w:w="4000"/>
          </w:tcPr>
          <w:p>
            <w:pPr>
              <w:spacing w:after="0"/>
            </w:pPr>
            <w:r>
              <w:rPr>
                <w:rFonts w:ascii="Calibri" w:hAnsi="Calibri"/>
                <w:color w:val="202124"/>
                <w:sz w:val="18"/>
              </w:rPr>
              <w:t>Wrong request ID, amount or phone</w:t>
            </w:r>
          </w:p>
        </w:tc>
        <w:tc>
          <w:tcPr>
            <w:tcW w:type="dxa" w:w="5360"/>
          </w:tcPr>
          <w:p>
            <w:pPr>
              <w:spacing w:after="0"/>
            </w:pPr>
            <w:r>
              <w:rPr>
                <w:rFonts w:ascii="Calibri" w:hAnsi="Calibri"/>
                <w:color w:val="202124"/>
                <w:sz w:val="18"/>
              </w:rPr>
              <w:t>Payment remains PENDING; audit entry created; no popup.</w:t>
            </w:r>
          </w:p>
        </w:tc>
      </w:tr>
      <w:tr>
        <w:tc>
          <w:tcPr>
            <w:tcW w:type="dxa" w:w="4000"/>
          </w:tcPr>
          <w:p>
            <w:pPr>
              <w:spacing w:after="0"/>
            </w:pPr>
            <w:r>
              <w:rPr>
                <w:rFonts w:ascii="Calibri" w:hAnsi="Calibri"/>
                <w:color w:val="202124"/>
                <w:sz w:val="18"/>
              </w:rPr>
              <w:t>Cancelled callback</w:t>
            </w:r>
          </w:p>
        </w:tc>
        <w:tc>
          <w:tcPr>
            <w:tcW w:type="dxa" w:w="5360"/>
          </w:tcPr>
          <w:p>
            <w:pPr>
              <w:spacing w:after="0"/>
            </w:pPr>
            <w:r>
              <w:rPr>
                <w:rFonts w:ascii="Calibri" w:hAnsi="Calibri"/>
                <w:color w:val="202124"/>
                <w:sz w:val="18"/>
              </w:rPr>
              <w:t>Payment FAILED and stock restored once.</w:t>
            </w:r>
          </w:p>
        </w:tc>
      </w:tr>
      <w:tr>
        <w:tc>
          <w:tcPr>
            <w:tcW w:type="dxa" w:w="4000"/>
          </w:tcPr>
          <w:p>
            <w:pPr>
              <w:spacing w:after="0"/>
            </w:pPr>
            <w:r>
              <w:rPr>
                <w:rFonts w:ascii="Calibri" w:hAnsi="Calibri"/>
                <w:color w:val="202124"/>
                <w:sz w:val="18"/>
              </w:rPr>
              <w:t>Duplicate callback</w:t>
            </w:r>
          </w:p>
        </w:tc>
        <w:tc>
          <w:tcPr>
            <w:tcW w:type="dxa" w:w="5360"/>
          </w:tcPr>
          <w:p>
            <w:pPr>
              <w:spacing w:after="0"/>
            </w:pPr>
            <w:r>
              <w:rPr>
                <w:rFonts w:ascii="Calibri" w:hAnsi="Calibri"/>
                <w:color w:val="202124"/>
                <w:sz w:val="18"/>
              </w:rPr>
              <w:t>No duplicate receipt, status update, stock movement or popup.</w:t>
            </w:r>
          </w:p>
        </w:tc>
      </w:tr>
      <w:tr>
        <w:tc>
          <w:tcPr>
            <w:tcW w:type="dxa" w:w="4000"/>
          </w:tcPr>
          <w:p>
            <w:pPr>
              <w:spacing w:after="0"/>
            </w:pPr>
            <w:r>
              <w:rPr>
                <w:rFonts w:ascii="Calibri" w:hAnsi="Calibri"/>
                <w:color w:val="202124"/>
                <w:sz w:val="18"/>
              </w:rPr>
              <w:t>POS reconnect</w:t>
            </w:r>
          </w:p>
        </w:tc>
        <w:tc>
          <w:tcPr>
            <w:tcW w:type="dxa" w:w="5360"/>
          </w:tcPr>
          <w:p>
            <w:pPr>
              <w:spacing w:after="0"/>
            </w:pPr>
            <w:r>
              <w:rPr>
                <w:rFonts w:ascii="Calibri" w:hAnsi="Calibri"/>
                <w:color w:val="202124"/>
                <w:sz w:val="18"/>
              </w:rPr>
              <w:t>Unacknowledged notification appears after authenticated reconnect.</w:t>
            </w:r>
          </w:p>
        </w:tc>
      </w:tr>
      <w:tr>
        <w:tc>
          <w:tcPr>
            <w:tcW w:type="dxa" w:w="4000"/>
          </w:tcPr>
          <w:p>
            <w:pPr>
              <w:spacing w:after="0"/>
            </w:pPr>
            <w:r>
              <w:rPr>
                <w:rFonts w:ascii="Calibri" w:hAnsi="Calibri"/>
                <w:color w:val="202124"/>
                <w:sz w:val="18"/>
              </w:rPr>
              <w:t>No M-Pesa configuration</w:t>
            </w:r>
          </w:p>
        </w:tc>
        <w:tc>
          <w:tcPr>
            <w:tcW w:type="dxa" w:w="5360"/>
          </w:tcPr>
          <w:p>
            <w:pPr>
              <w:spacing w:after="0"/>
            </w:pPr>
            <w:r>
              <w:rPr>
                <w:rFonts w:ascii="Calibri" w:hAnsi="Calibri"/>
                <w:color w:val="202124"/>
                <w:sz w:val="18"/>
              </w:rPr>
              <w:t>API reports unavailable; never reports payment as paid.</w:t>
            </w:r>
          </w:p>
        </w:tc>
      </w:tr>
      <w:tr>
        <w:tc>
          <w:tcPr>
            <w:tcW w:type="dxa" w:w="4000"/>
          </w:tcPr>
          <w:p>
            <w:pPr>
              <w:spacing w:after="0"/>
            </w:pPr>
            <w:r>
              <w:rPr>
                <w:rFonts w:ascii="Calibri" w:hAnsi="Calibri"/>
                <w:color w:val="202124"/>
                <w:sz w:val="18"/>
              </w:rPr>
              <w:t>Concurrent web/POS stock request</w:t>
            </w:r>
          </w:p>
        </w:tc>
        <w:tc>
          <w:tcPr>
            <w:tcW w:type="dxa" w:w="5360"/>
          </w:tcPr>
          <w:p>
            <w:pPr>
              <w:spacing w:after="0"/>
            </w:pPr>
            <w:r>
              <w:rPr>
                <w:rFonts w:ascii="Calibri" w:hAnsi="Calibri"/>
                <w:color w:val="202124"/>
                <w:sz w:val="18"/>
              </w:rPr>
              <w:t>One request fails cleanly when remaining stock is insufficient.</w:t>
            </w:r>
          </w:p>
        </w:tc>
      </w:tr>
      <w:tr>
        <w:tc>
          <w:tcPr>
            <w:tcW w:type="dxa" w:w="4000"/>
          </w:tcPr>
          <w:p>
            <w:pPr>
              <w:spacing w:after="0"/>
            </w:pPr>
            <w:r>
              <w:rPr>
                <w:rFonts w:ascii="Calibri" w:hAnsi="Calibri"/>
                <w:color w:val="202124"/>
                <w:sz w:val="18"/>
              </w:rPr>
              <w:t>Unauthorised admin request</w:t>
            </w:r>
          </w:p>
        </w:tc>
        <w:tc>
          <w:tcPr>
            <w:tcW w:type="dxa" w:w="5360"/>
          </w:tcPr>
          <w:p>
            <w:pPr>
              <w:spacing w:after="0"/>
            </w:pPr>
            <w:r>
              <w:rPr>
                <w:rFonts w:ascii="Calibri" w:hAnsi="Calibri"/>
                <w:color w:val="202124"/>
                <w:sz w:val="18"/>
              </w:rPr>
              <w:t>API returns 401/403 without exposing protected records.</w:t>
            </w:r>
          </w:p>
        </w:tc>
      </w:tr>
    </w:tbl>
    <w:p>
      <w:pPr>
        <w:spacing w:after="60"/>
      </w:pPr>
    </w:p>
    <w:p>
      <w:pPr>
        <w:pStyle w:val="Heading1"/>
      </w:pPr>
      <w:r>
        <w:t>12. Deployment checklist</w:t>
      </w:r>
    </w:p>
    <w:p>
      <w:pPr>
        <w:pStyle w:val="ListNumber"/>
        <w:spacing w:after="80" w:line="280" w:lineRule="auto"/>
        <w:ind w:left="720" w:hanging="360"/>
      </w:pPr>
      <w:r>
        <w:rPr>
          <w:rFonts w:ascii="Calibri" w:hAnsi="Calibri"/>
          <w:color w:val="202124"/>
          <w:sz w:val="22"/>
        </w:rPr>
        <w:t>Create and test Daraja sandbox application; register the production callback URL during go-live.</w:t>
      </w:r>
    </w:p>
    <w:p>
      <w:pPr>
        <w:pStyle w:val="ListNumber"/>
        <w:spacing w:after="80" w:line="280" w:lineRule="auto"/>
        <w:ind w:left="720" w:hanging="360"/>
      </w:pPr>
      <w:r>
        <w:rPr>
          <w:rFonts w:ascii="Calibri" w:hAnsi="Calibri"/>
          <w:color w:val="202124"/>
          <w:sz w:val="22"/>
        </w:rPr>
        <w:t>Set production secrets through deployment configuration and confirm no secrets are committed.</w:t>
      </w:r>
    </w:p>
    <w:p>
      <w:pPr>
        <w:pStyle w:val="ListNumber"/>
        <w:spacing w:after="80" w:line="280" w:lineRule="auto"/>
        <w:ind w:left="720" w:hanging="360"/>
      </w:pPr>
      <w:r>
        <w:rPr>
          <w:rFonts w:ascii="Calibri" w:hAnsi="Calibri"/>
          <w:color w:val="202124"/>
          <w:sz w:val="22"/>
        </w:rPr>
        <w:t>Apply Prisma schema changes and take a database backup.</w:t>
      </w:r>
    </w:p>
    <w:p>
      <w:pPr>
        <w:pStyle w:val="ListNumber"/>
        <w:spacing w:after="80" w:line="280" w:lineRule="auto"/>
        <w:ind w:left="720" w:hanging="360"/>
      </w:pPr>
      <w:r>
        <w:rPr>
          <w:rFonts w:ascii="Calibri" w:hAnsi="Calibri"/>
          <w:color w:val="202124"/>
          <w:sz w:val="22"/>
        </w:rPr>
        <w:t>Deploy API before storefront/admin/POS builds.</w:t>
      </w:r>
    </w:p>
    <w:p>
      <w:pPr>
        <w:pStyle w:val="ListNumber"/>
        <w:spacing w:after="80" w:line="280" w:lineRule="auto"/>
        <w:ind w:left="720" w:hanging="360"/>
      </w:pPr>
      <w:r>
        <w:rPr>
          <w:rFonts w:ascii="Calibri" w:hAnsi="Calibri"/>
          <w:color w:val="202124"/>
          <w:sz w:val="22"/>
        </w:rPr>
        <w:t>Perform sandbox payment, cancellation, callback retry and reconnect tests.</w:t>
      </w:r>
    </w:p>
    <w:p>
      <w:pPr>
        <w:pStyle w:val="ListNumber"/>
        <w:spacing w:after="80" w:line="280" w:lineRule="auto"/>
        <w:ind w:left="720" w:hanging="360"/>
      </w:pPr>
      <w:r>
        <w:rPr>
          <w:rFonts w:ascii="Calibri" w:hAnsi="Calibri"/>
          <w:color w:val="202124"/>
          <w:sz w:val="22"/>
        </w:rPr>
        <w:t>Train cashiers: wait for the verified POS popup before handing over goods.</w:t>
      </w:r>
    </w:p>
    <w:p>
      <w:pPr>
        <w:pStyle w:val="ListNumber"/>
        <w:spacing w:after="80" w:line="280" w:lineRule="auto"/>
        <w:ind w:left="720" w:hanging="360"/>
      </w:pPr>
      <w:r>
        <w:rPr>
          <w:rFonts w:ascii="Calibri" w:hAnsi="Calibri"/>
          <w:color w:val="202124"/>
          <w:sz w:val="22"/>
        </w:rPr>
        <w:t>Review payment and pending-order dashboard daily during launch week.</w:t>
      </w:r>
    </w:p>
    <w:p>
      <w:r>
        <w:br w:type="page"/>
      </w:r>
    </w:p>
    <w:p>
      <w:pPr>
        <w:pStyle w:val="Heading1"/>
      </w:pPr>
      <w:r>
        <w:t>Storefront technical update October 2026</w:t>
      </w:r>
    </w:p>
    <w:p>
      <w:pPr>
        <w:pStyle w:val="ListBullet"/>
      </w:pPr>
      <w:r>
        <w:t>Implement the four-slide campaign in the existing React storefront, below the navigation rather than replacing header shopping controls. Slides represent women, men, sneakers and new arrivals and preserve the brand headline and bold slogan.</w:t>
      </w:r>
    </w:p>
    <w:p>
      <w:pPr>
        <w:pStyle w:val="ListBullet"/>
      </w:pPr>
      <w:r>
        <w:t>Keep image dimensions stable and use object-fit: cover with per-slide focal positions to fill frames without distortion or blank bands. Prefer catalogue-derived product photography where available; promotional fallback photography must not create catalogue records or assert prices/stock.</w:t>
      </w:r>
    </w:p>
    <w:p>
      <w:pPr>
        <w:pStyle w:val="ListBullet"/>
      </w:pPr>
      <w:r>
        <w:t>Apply contrast-safe foreground/overlay styling when live catalogue photos replace campaign images. Verify light, dark and busy backgrounds on desktop and phones while keeping merchandise visible.</w:t>
      </w:r>
    </w:p>
    <w:p>
      <w:pPr>
        <w:pStyle w:val="ListBullet"/>
      </w:pPr>
      <w:r>
        <w:t>Use labelled native buttons for previous/next, slide selection and explicit pause/play. Start rotation automatically every five seconds; pointer hover and touch/pointer-selected controls must not stop it indefinitely. Track actual keyboard input rather than inferring it from pointer-triggered focus-visible. Clear timers on unmount and pause for hidden documents. Reduced motion disables animated transitions, not automatic instant slide changes or enabled Pause/Play. Motion transitions must not expose offscreen slide controls to keyboard or screen-reader users.</w:t>
      </w:r>
    </w:p>
    <w:p>
      <w:pPr>
        <w:pStyle w:val="ListBullet"/>
      </w:pPr>
      <w:r>
        <w:t>Mobile photo-frame sizing and focal positions must show the garment/shoes in actual portrait catalogue photos. Do not reuse the shallow 130px, top-aligned crop that showed mostly background in the phone recording. Keep these layout corrections within mobile breakpoints and preserve approved desktop appearance.</w:t>
      </w:r>
    </w:p>
    <w:p>
      <w:pPr>
        <w:pStyle w:val="ListBullet"/>
      </w:pPr>
      <w:r>
        <w:t>Mobile carousel controls must sit above transparent campaign text layers in the stacking order. Verify elementFromPoint at each control centre and native touch activation; visible buttons or programmatic click handlers alone do not prove the controls can receive taps.</w:t>
      </w:r>
    </w:p>
    <w:p>
      <w:pPr>
        <w:pStyle w:val="ListBullet"/>
      </w:pPr>
      <w:r>
        <w:t>Slide actions must reset incompatible catalogue filters and navigate to the appropriate assortment. New-arrival discovery must use actual catalogue metadata, not invented launch dates.</w:t>
      </w:r>
    </w:p>
    <w:p>
      <w:pPr>
        <w:pStyle w:val="ListBullet"/>
      </w:pPr>
      <w:r>
        <w:t>The catalogue service has no development or environment-enabled demo fallback. Official category and branch configuration lives in src/utils/storeConfig.ts. Remove the unused fake authentication provider; customer screens cannot grant owner privileges.</w:t>
      </w:r>
    </w:p>
    <w:p>
      <w:pPr>
        <w:pStyle w:val="ListBullet"/>
      </w:pPr>
      <w:r>
        <w:t>Fixed circular support controls use accessible names, device safe-area insets and bottom page clearance. Modal-aware visibility prevents them covering cart, checkout or chat actions.</w:t>
      </w:r>
    </w:p>
    <w:p>
      <w:pPr>
        <w:pStyle w:val="ListBullet"/>
      </w:pPr>
      <w:r>
        <w:t>Constrain the mobile assistant with viewport-relative maximum height and inset width, including short viewports. Its header and composer remain reachable while messages scroll internally. Preserve keyboard focus, Escape dismissal and the existing chat API integration.</w:t>
      </w:r>
    </w:p>
    <w:p>
      <w:pPr>
        <w:pStyle w:val="ListBullet"/>
      </w:pPr>
      <w:r>
        <w:t>Footer year is the literal 2023. Do not derive it from the runtime clock.</w:t>
      </w:r>
    </w:p>
    <w:p>
      <w:pPr>
        <w:pStyle w:val="ListBullet"/>
      </w:pPr>
      <w:r>
        <w:t>Verify desktop, 320px and 390px phone widths, short viewports, all slide navigation/filter actions, rotation controls, assistant open/close/send layout, empty/unavailable catalogue and reduced-motion behaviour.</w:t>
      </w:r>
    </w:p>
    <w:p>
      <w:pPr>
        <w:pStyle w:val="ListBullet"/>
      </w:pPr>
      <w:r>
        <w:t>Update Markdown requirements, sharing copies and project documentation alongside code changes. Build/lint/unit and browser checks do not replace live merchant payment verification.</w:t>
      </w:r>
    </w:p>
    <w:p>
      <w:r>
        <w:br w:type="page"/>
      </w:r>
    </w:p>
    <w:p>
      <w:pPr>
        <w:pStyle w:val="Heading1"/>
      </w:pPr>
      <w:r>
        <w:t>Payment workflow update October 2026</w:t>
      </w:r>
    </w:p>
    <w:p>
      <w:r>
        <w:t>This update supersedes earlier descriptions of the primary payment flow. The active checkout uses C2B Till payments. STK callbacks remain separate legacy endpoints. Live callback delivery for the reported POS sales has not yet been verified.</w:t>
      </w:r>
    </w:p>
    <w:p>
      <w:r>
        <w:t>POST /api/orders/c2b-callback receives C2B confirmations; POST /api/orders/c2b-callback/validation validates without settlement. Both check MPESA_C2B_CALLBACK_SECRET. POST /api/orders/mpesa-callback is the separate STK endpoint.</w:t>
      </w:r>
    </w:p>
    <w:p>
      <w:r>
        <w:t>C2B matching checks BusinessShortCode, BillRefNumber or AccountReference, exact amount in cents, receipt uniqueness and an open unexpired target. Masked or hashed payer identities are supported. Unmatched payments are retained for owner assignment.</w:t>
      </w:r>
    </w:p>
    <w:p>
      <w:r>
        <w:t>GET /api/pos/payment-notifications returns unacknowledged alerts for the authenticated cashier. POST /api/pos/payment-notifications/:id/acknowledge is accepted only after that cashier completes the paid sale. On-screen and printable receipts omit the internal masked: prefix from payer numbers, preserving the obscured digits and asterisks. Stored provider identities remain unchanged.</w:t>
      </w:r>
    </w:p>
    <w:p>
      <w:r>
        <w:t>POS polling is sequential, aborts after 15 seconds and retries three seconds after completion. HTTP, network and malformed-response failures show a warning. HTTP 401 ends the shift. Successful polling clears the warning; session changes cancel old requests.</w:t>
      </w:r>
    </w:p>
    <w:p>
      <w:r>
        <w:t>POST /api/orders/mpesa-c2b-register requires owner access. Daraja ResponseCode must be 0 or 00000000 before success is returned and audited. HTTP 200 alone is insufficient.</w:t>
      </w:r>
    </w:p>
    <w:p>
      <w:r>
        <w:t>Callback diagnostics record arrival and completion metadata without secrets or payloads. A processed outcome is not proof of matching: check PAYMENT_CONFIRMED or PAYMENT_REQUIRES_REVIEW and the durable notification.</w:t>
      </w:r>
    </w:p>
    <w:p>
      <w:pPr>
        <w:pStyle w:val="Heading2"/>
      </w:pPr>
      <w:r>
        <w:t>Verification status</w:t>
      </w:r>
    </w:p>
    <w:p>
      <w:r>
        <w:t>API unit tests and TypeScript build passed; POS 10 tests and production build passed. All 16 integration tests passed against an isolated PostgreSQL database, including exact-reference callback delivery, deduplication, cashier isolation, completion and acknowledgement. Hosted Daraja delivery and the reported sales GCPOSECE8C8 and GCPOSA5E9A6 remain unverified.</w:t>
      </w:r>
    </w:p>
    <w:p>
      <w:r>
        <w:t>API release checks must pass the production dependency audit without high or critical findings. The 8 October CI follow-up updates compression to 1.8.2 and proxy-addr to 2.0.8. The local audit reports zero vulnerabilities; the API build, unit tests and backup tests pass. This correction preserves the security gate and does not establish live Daraja callback delivery.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872"/>
        <w:sz w:val="16"/>
      </w:rPr>
      <w:t xml:space="preserve">Confidential — Internal planning document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872"/>
        <w:sz w:val="16"/>
      </w:rPr>
      <w:t>GEM &amp; CRYSTAL FASHION HUB  |  TECHNICAL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