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8FF9" w14:textId="77777777" w:rsidR="003D1508" w:rsidRPr="00DD1168" w:rsidRDefault="003D1508" w:rsidP="003D1508">
      <w:pPr>
        <w:spacing w:before="1360" w:after="160"/>
        <w:jc w:val="center"/>
        <w:rPr>
          <w:rFonts w:ascii="Times New Roman" w:eastAsia="微软雅黑" w:hAnsi="Times New Roman"/>
          <w:b/>
          <w:bCs/>
        </w:rPr>
      </w:pPr>
      <w:r w:rsidRPr="00DD1168">
        <w:rPr>
          <w:rFonts w:ascii="Times New Roman" w:eastAsia="微软雅黑" w:hAnsi="Times New Roman"/>
          <w:b/>
          <w:bCs/>
          <w:color w:val="2F75B5"/>
          <w:sz w:val="28"/>
        </w:rPr>
        <w:t>《程序设计综合实验》</w:t>
      </w:r>
    </w:p>
    <w:p w14:paraId="4F9EB86F" w14:textId="1BFB294D" w:rsidR="008A059F" w:rsidRPr="001B50C2" w:rsidRDefault="008A059F" w:rsidP="003D1508">
      <w:pPr>
        <w:pBdr>
          <w:bottom w:val="single" w:sz="20" w:space="4" w:color="5B9BD5"/>
        </w:pBdr>
        <w:spacing w:before="480" w:after="560" w:line="440" w:lineRule="exact"/>
        <w:jc w:val="center"/>
        <w:rPr>
          <w:rFonts w:ascii="Times New Roman" w:eastAsia="微软雅黑" w:hAnsi="Times New Roman" w:hint="eastAsia"/>
          <w:b/>
          <w:bCs/>
        </w:rPr>
      </w:pPr>
      <w:r w:rsidRPr="001B50C2">
        <w:rPr>
          <w:rFonts w:ascii="Times New Roman" w:eastAsia="微软雅黑" w:hAnsi="Times New Roman"/>
          <w:b/>
          <w:bCs/>
          <w:color w:val="1F4E79"/>
          <w:sz w:val="52"/>
        </w:rPr>
        <w:t>项目需求分析与概要设计文档</w:t>
      </w:r>
    </w:p>
    <w:p w14:paraId="17165E0E" w14:textId="77777777" w:rsidR="00FE72DA" w:rsidRPr="001B50C2" w:rsidRDefault="00000000">
      <w:pPr>
        <w:spacing w:after="680"/>
        <w:jc w:val="center"/>
        <w:rPr>
          <w:rFonts w:ascii="Times New Roman" w:eastAsia="微软雅黑" w:hAnsi="Times New Roman" w:hint="eastAsia"/>
        </w:rPr>
      </w:pPr>
      <w:r>
        <w:t xml:space="preserve">程序设计综合实验 · 双模式运动与饮食辅助系统</w:t>
      </w:r>
    </w:p>
    <w:p w14:paraId="50230FDC" w14:textId="77777777" w:rsidR="008A059F" w:rsidRPr="001B50C2" w:rsidRDefault="008A059F" w:rsidP="004819B8">
      <w:pPr>
        <w:shd w:val="clear" w:color="auto" w:fill="F6F9FC"/>
        <w:spacing w:after="0" w:line="480" w:lineRule="auto"/>
        <w:ind w:left="1200" w:right="650"/>
        <w:rPr>
          <w:rFonts w:ascii="Times New Roman" w:eastAsia="微软雅黑" w:hAnsi="Times New Roman" w:hint="eastAsia"/>
        </w:rPr>
      </w:pPr>
      <w:r>
        <w:rPr>
          <w:sz w:val="22"/>
        </w:rPr>
        <w:t>项目名称：练得明白</w:t>
        <w:br/>
      </w:r>
      <w:r>
        <w:rPr>
          <w:sz w:val="22"/>
        </w:rPr>
        <w:t>大众与运动员双模式运动饮食助手</w:t>
        <w:br/>
      </w:r>
      <w:r>
        <w:rPr>
          <w:sz w:val="22"/>
        </w:rPr>
        <w:t>组员1：________（学号：________）</w:t>
        <w:br/>
      </w:r>
      <w:r>
        <w:rPr>
          <w:sz w:val="22"/>
        </w:rPr>
        <w:t>组员2：________（学号：________）</w:t>
        <w:br/>
      </w:r>
      <w:r>
        <w:rPr>
          <w:sz w:val="22"/>
        </w:rPr>
        <w:t>组员3：________（学号：________）</w:t>
        <w:br/>
      </w:r>
      <w:r>
        <w:rPr>
          <w:sz w:val="22"/>
        </w:rPr>
        <w:t>完成日期：2026年10月13日</w:t>
        <w:br w:type="page"/>
      </w:r>
    </w:p>
    <w:p w14:paraId="6C243D6A" w14:textId="77777777" w:rsidR="008A059F" w:rsidRPr="001B50C2" w:rsidRDefault="008A059F" w:rsidP="004819B8">
      <w:pPr>
        <w:pStyle w:val="CourseHeading1"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 项目概述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1.1 项目背景与简介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大众健身用户常面临训练动作选择困难、计划与实际时间不符、饮食记录难以转化为具体反馈等问题；具有训练基础的运动员则需要围绕专项和周期整理训练安排、比较计划与实际完成情况，并持续观察个人训练记录。两类用户的目标与信息需求不同，统一的功能入口和反馈方式难以同时满足其使用习惯。本项目拟开发“练得明白”双模式运动饮食助手，面向成年普通健身者及校队、业余竞技运动员。大众模式提供条件化训练推荐、摄像头跟练和饮食结构提示；运动员模式提供周期计划、跑步专项记录及负荷趋势。系统通过“建档—计划—执行—反馈—调整”形成完整使用流程，采用可解释规则和用户确认机制，帮助用户记录、理解并调整日常安排。首期不提供医疗诊断、伤病康复处方或专业竞技决策，饮食分析用于一般性结构参考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1.2 项目目标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项目总体目标是实现可独立演示、可重复验证的双模式个人运动辅助系统。以下指标为计划验收目标，不代表已经完成开发或获得实测结果。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540"/>
      </w:tblGrid>
      <w:tr>
        <w:trPr>
          <w:cantSplit/>
          <w:tblHeader/>
        </w:trPr>
        <w:tc>
          <w:tcPr>
            <w:tcW w:type="dxa" w:w="175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7540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可检查的预期结果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双模式服务</w:t>
            </w:r>
          </w:p>
        </w:tc>
        <w:tc>
          <w:tcPr>
            <w:tcW w:type="dxa" w:w="754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同一账号可进入大众或运动员模式；切换前展示变化并确认，历史记录及原计划版本不丢失。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完整训练流程</w:t>
            </w:r>
          </w:p>
        </w:tc>
        <w:tc>
          <w:tcPr>
            <w:tcW w:type="dxa" w:w="754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支持建立档案、生成或录入计划、执行、反馈、调整预览与确认；每次计划修改保留原因和版本。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可交互的视觉功能</w:t>
            </w:r>
          </w:p>
        </w:tc>
        <w:tc>
          <w:tcPr>
            <w:tcW w:type="dxa" w:w="754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支持侧面坐站及站姿弯举两个演示动作；在固定机位、单人、无遮挡测试集上，至少90%的测试片段计数误差不超过1次。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饮食结构辅助</w:t>
            </w:r>
          </w:p>
        </w:tc>
        <w:tc>
          <w:tcPr>
            <w:tcW w:type="dxa" w:w="754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支持手工录入并确认食物类别；缺失记录不当作未摄入；每项结构提示可查看依据和适用范围。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运动员专项功能</w:t>
            </w:r>
          </w:p>
        </w:tc>
        <w:tc>
          <w:tcPr>
            <w:tcW w:type="dxa" w:w="754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首期覆盖跑步计划与实际记录，统计时长、距离、主观用力和个人负荷趋势；不从负荷值推断伤病概率。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可验证的交付</w:t>
            </w:r>
          </w:p>
        </w:tc>
        <w:tc>
          <w:tcPr>
            <w:tcW w:type="dxa" w:w="754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提交源代码、部署说明、测试集与测试报告、文档和演示视频；核心流程不依赖付费模型API。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1.3 用户与使用场景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402"/>
        <w:gridCol w:w="4422"/>
      </w:tblGrid>
      <w:tr>
        <w:trPr>
          <w:cantSplit/>
          <w:tblHeader/>
        </w:trPr>
        <w:tc>
          <w:tcPr>
            <w:tcW w:type="dxa" w:w="147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用户类型</w:t>
            </w:r>
          </w:p>
        </w:tc>
        <w:tc>
          <w:tcPr>
            <w:tcW w:type="dxa" w:w="340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使用场景</w:t>
            </w:r>
          </w:p>
        </w:tc>
        <w:tc>
          <w:tcPr>
            <w:tcW w:type="dxa" w:w="442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主要需求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大众用户</w:t>
            </w:r>
          </w:p>
        </w:tc>
        <w:tc>
          <w:tcPr>
            <w:tcW w:type="dxa" w:w="340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宿舍、家庭或健身房进行一般体能训练</w:t>
            </w:r>
          </w:p>
        </w:tc>
        <w:tc>
          <w:tcPr>
            <w:tcW w:type="dxa" w:w="442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低门槛建档；按时间和器材替换动作；计数、习惯记录、饮食类别反馈。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运动员用户</w:t>
            </w:r>
          </w:p>
        </w:tc>
        <w:tc>
          <w:tcPr>
            <w:tcW w:type="dxa" w:w="340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成年校队或业余竞技运动员记录个人训练，首期以跑步为示范</w:t>
            </w:r>
          </w:p>
        </w:tc>
        <w:tc>
          <w:tcPr>
            <w:tcW w:type="dxa" w:w="442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周期目标、锁定既有训练、计划与实际对照、个人负荷与训练日用餐时间线。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管理员</w:t>
            </w:r>
          </w:p>
        </w:tc>
        <w:tc>
          <w:tcPr>
            <w:tcW w:type="dxa" w:w="340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维护经审核的动作库、食物目录与分析规则</w:t>
            </w:r>
          </w:p>
        </w:tc>
        <w:tc>
          <w:tcPr>
            <w:tcW w:type="dxa" w:w="442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资料版本、来源维护、异常日志；默认无权查看用户私密饮食和训练详情。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模式是同一用户的使用配置，不是不同权限等级，也不通过体重、成绩或收费自动划分。首期仅面向18岁及以上用户；已有伤病、孕期或有特殊膳食管理需求者可保留记录功能，但不进入自动训练推荐流程。教练多人管理端不属于首期范围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912"/>
        <w:gridCol w:w="3912"/>
      </w:tblGrid>
      <w:tr>
        <w:trPr>
          <w:cantSplit/>
          <w:tblHeader/>
        </w:trPr>
        <w:tc>
          <w:tcPr>
            <w:tcW w:type="dxa" w:w="147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比较维度</w:t>
            </w:r>
          </w:p>
        </w:tc>
        <w:tc>
          <w:tcPr>
            <w:tcW w:type="dxa" w:w="391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大众模式</w:t>
            </w:r>
          </w:p>
        </w:tc>
        <w:tc>
          <w:tcPr>
            <w:tcW w:type="dxa" w:w="391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运动员模式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目标与输入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建立习惯、一般体能；经验、时段、器材、偏好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专项、训练经验、周期阶段、目标日期、既有计划；可录入体重用于个人趋势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计划方式</w:t>
            </w:r>
          </w:p>
        </w:tc>
        <w:tc>
          <w:tcPr>
            <w:tcW w:type="dxa" w:w="39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从基础模板生成一周安排，支持动作替换</w:t>
            </w:r>
          </w:p>
        </w:tc>
        <w:tc>
          <w:tcPr>
            <w:tcW w:type="dxa" w:w="39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录入或复制个人周期计划，首期支持4周跑步安排；保留锁定训练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执行与反馈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跟练计数、完成情况、训练后感受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跑步距离/时长、实际与计划差异、session-RPE记录；基础动作跟练可共用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饮食呈现</w:t>
            </w:r>
          </w:p>
        </w:tc>
        <w:tc>
          <w:tcPr>
            <w:tcW w:type="dxa" w:w="39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本餐/当天食物类别与记录完整程度</w:t>
            </w:r>
          </w:p>
        </w:tc>
        <w:tc>
          <w:tcPr>
            <w:tcW w:type="dxa" w:w="39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增加训练日和休息日标记、用餐与训练时间线；不自动开具竞技营养处方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调整策略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根据时间、器材与反馈提供候选替换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只提出局部调整建议及影响，不擅自改变周期目标或教练既有安排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1.4 系统运行环境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客户端为Windows 10/11或macOS电脑上的现代浏览器，移动端支持基础记录和查看。摄像头计数以电脑端Chrome/Edge为首期验收环境；需要720p摄像头、单人完整入镜和稳定光照。基准测试设备拟采用四核CPU、8GB内存，不要求独立GPU；实际设备型号和浏览器版本在测试报告中记录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服务端使用Python运行环境和SQLite数据库，可部署在Windows或Linux。校园局域网或本机即可演示；公网部署使用HTTPS，摄像头依赖安全上下文与用户授权。本地演示使用localhost。模型和规则资源提前下载并固定版本，初次准备后核心演示不依赖外网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1.5 开发环境与开发工具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515"/>
        <w:gridCol w:w="4535"/>
      </w:tblGrid>
      <w:tr>
        <w:trPr>
          <w:cantSplit/>
          <w:tblHeader/>
        </w:trPr>
        <w:tc>
          <w:tcPr>
            <w:tcW w:type="dxa" w:w="124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515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工具/技术</w:t>
            </w:r>
          </w:p>
        </w:tc>
        <w:tc>
          <w:tcPr>
            <w:tcW w:type="dxa" w:w="4535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版本或说明</w:t>
            </w:r>
          </w:p>
        </w:tc>
      </w:tr>
      <w:tr>
        <w:trPr>
          <w:cantSplit/>
        </w:trPr>
        <w:tc>
          <w:tcPr>
            <w:tcW w:type="dxa" w:w="124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前端</w:t>
            </w:r>
          </w:p>
        </w:tc>
        <w:tc>
          <w:tcPr>
            <w:tcW w:type="dxa" w:w="351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Vue 3、TypeScript、Vite</w:t>
            </w:r>
          </w:p>
        </w:tc>
        <w:tc>
          <w:tcPr>
            <w:tcW w:type="dxa" w:w="45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响应式网页；版本在立项时锁定并保留依赖清单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后端</w:t>
            </w:r>
          </w:p>
        </w:tc>
        <w:tc>
          <w:tcPr>
            <w:tcW w:type="dxa" w:w="351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Python 3.11、FastAPI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业务接口、输入校验和规则服务</w:t>
            </w:r>
          </w:p>
        </w:tc>
      </w:tr>
      <w:tr>
        <w:trPr>
          <w:cantSplit/>
        </w:trPr>
        <w:tc>
          <w:tcPr>
            <w:tcW w:type="dxa" w:w="124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视觉</w:t>
            </w:r>
          </w:p>
        </w:tc>
        <w:tc>
          <w:tcPr>
            <w:tcW w:type="dxa" w:w="351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MediaPipe Tasks Vision、Canvas</w:t>
            </w:r>
          </w:p>
        </w:tc>
        <w:tc>
          <w:tcPr>
            <w:tcW w:type="dxa" w:w="45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浏览器端姿态推理；模型和包固定版本及校验值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数据</w:t>
            </w:r>
          </w:p>
        </w:tc>
        <w:tc>
          <w:tcPr>
            <w:tcW w:type="dxa" w:w="351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SQLite 3、SQLAlchemy、Alembic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单机部署、结构迁移与事务；保留升级接口</w:t>
            </w:r>
          </w:p>
        </w:tc>
      </w:tr>
      <w:tr>
        <w:trPr>
          <w:cantSplit/>
        </w:trPr>
        <w:tc>
          <w:tcPr>
            <w:tcW w:type="dxa" w:w="124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图表与测试</w:t>
            </w:r>
          </w:p>
        </w:tc>
        <w:tc>
          <w:tcPr>
            <w:tcW w:type="dxa" w:w="351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ECharts、pytest、Playwright</w:t>
            </w:r>
          </w:p>
        </w:tc>
        <w:tc>
          <w:tcPr>
            <w:tcW w:type="dxa" w:w="45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趋势图、算法与接口测试、关键页面流程检查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开发协作</w:t>
            </w:r>
          </w:p>
        </w:tc>
        <w:tc>
          <w:tcPr>
            <w:tcW w:type="dxa" w:w="351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VS Code、Git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分支评审、任务记录和问题跟踪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1.6 相关系统或技术调研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本项目选择两类用户产品及一项基础技术进行调研，重点借鉴可实现的交互和记录方式，不以“首创健身平台”作为创新性依据。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48"/>
        <w:gridCol w:w="4082"/>
      </w:tblGrid>
      <w:tr>
        <w:trPr>
          <w:cantSplit/>
          <w:tblHeader/>
        </w:trPr>
        <w:tc>
          <w:tcPr>
            <w:tcW w:type="dxa" w:w="226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系统或技术</w:t>
            </w:r>
          </w:p>
        </w:tc>
        <w:tc>
          <w:tcPr>
            <w:tcW w:type="dxa" w:w="294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可借鉴内容</w:t>
            </w:r>
          </w:p>
        </w:tc>
        <w:tc>
          <w:tcPr>
            <w:tcW w:type="dxa" w:w="408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本项目的定位与取舍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Garmin Connect训练负荷相关功能 [1]</w:t>
            </w:r>
          </w:p>
        </w:tc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训练记录与负荷趋势的组织方式</w:t>
            </w:r>
          </w:p>
        </w:tc>
        <w:tc>
          <w:tcPr>
            <w:tcW w:type="dxa" w:w="408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首期采用手工时长与主观用力记录；不复制依赖设备的专有算法，不宣称等同Garmin指标。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MyFitnessPal饮食日记 [2]</w:t>
            </w:r>
          </w:p>
        </w:tc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按餐次记录食物并回顾日常摄入</w:t>
            </w:r>
          </w:p>
        </w:tc>
        <w:tc>
          <w:tcPr>
            <w:tcW w:type="dxa" w:w="408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采用小型来源明确的食物目录，优先解释结构与缺失；不追求庞大的商业食物数据库。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MediaPipe Pose Landmarker [3]</w:t>
            </w:r>
          </w:p>
        </w:tc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人体关键点估计与浏览器视觉能力</w:t>
            </w:r>
          </w:p>
        </w:tc>
        <w:tc>
          <w:tcPr>
            <w:tcW w:type="dxa" w:w="408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在关键点上自行实现状态机计数、低置信度暂停和事件摘要；不把关键点检测当作姿势安全诊断。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项目区分度在于双模式的可解释训练流程、低门槛跟练记录和训练饮食时间线的统一复盘。与已知分组选题中的二手交易、失物招领、家教和寻路方向不同；饮食部分服务于运动主线，最终与“食迹（FoodWise）”的边界需以双方功能范围核对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 需求分析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2.1 功能需求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“必须”项组成首期验收范围；“可选”项不影响核心流程验收。运动员模式必须交付，不作为大众模式的后期扩展。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644"/>
        <w:gridCol w:w="6208"/>
        <w:gridCol w:w="794"/>
      </w:tblGrid>
      <w:tr>
        <w:trPr>
          <w:cantSplit/>
          <w:tblHeader/>
        </w:trPr>
        <w:tc>
          <w:tcPr>
            <w:tcW w:type="dxa" w:w="65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64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功能名称</w:t>
            </w:r>
          </w:p>
        </w:tc>
        <w:tc>
          <w:tcPr>
            <w:tcW w:type="dxa" w:w="620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功能描述</w:t>
            </w:r>
          </w:p>
        </w:tc>
        <w:tc>
          <w:tcPr>
            <w:tcW w:type="dxa" w:w="79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F01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账号与数据控制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注册、登录、退出；用户数据隔离；导出个人记录与删除账号。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F02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双模式档案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填写共同档案及运动员扩展信息；切换模式先确认，保留历史模式快照。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F03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训练计划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大众一周模板推荐；运动员4周跑步计划录入/复制；日历查看、锁定和版本保存。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F04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条件替换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按时长、场地、器材过滤候选动作，解释替换原因；无候选时如实提示。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F05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摄像头跟练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两个指定动作的关键点可视化、计数与阶段提示；支持暂停和手工修正。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F06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训练反馈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记录实际组次/时长、完成原因和主观用力；运动员增加距离与训练类型。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F07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计划调整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基于反馈生成局部调整预览；锁定项保持不变；确认后生成新版本。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F08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负荷与趋势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运动员按session-RPE与实际分钟数计算记录负荷；展示周汇总及缺失状态。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F09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饮食记录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按餐次选择食物、类别、可选份量；编辑和确认完整程度，不强制拍照。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F10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结构分析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给出食物类别覆盖、记录缺口和替换候选；运动员增加训练日时间线。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F11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个人周报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展示计划完成、训练趋势、饮食记录完整度及依据；可导出数据。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F12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资料与规则管理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维护至少20个基础动作、40个食物条目及规则来源和版本；停用不适用条目。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F13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照片辅助录入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识别候选食物并由用户确认；无法确认则回退手工录入。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F14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食堂配餐实验室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对自建菜单按预算、偏好和食物类别生成可比较的搭配。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F15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知识问答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检索已审核知识条目并显示来源；不得直接改写计划或输出诊疗结论。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F16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视频回放与设备接入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用户单独授权保存本地片段；探索CSV训练导入，穿戴设备直连暂不承诺。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2.2 功能结构或用例分析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243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34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图2-1 系统功能结构图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典型用例一：大众用户选择“宿舍、无器材、20分钟”，确认基础计划，进入跟练并保存完成次数；系统依据反馈生成下次安排预览。典型用例二：运动员录入跑步周期与锁定训练，记录距离、时长及主观用力，查看周趋势，确认或拒绝局部调整。典型用例三：用户确认餐次中的食物，查看类别提示；记录不足时仅分析已确认部分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管理员仅维护内容与规则。切换模式、保存调整、删除记录和上传可选媒体等操作均需要明确操作入口；关键动作给出成功或失败反馈。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2.3 输入与输出需求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969"/>
        <w:gridCol w:w="3855"/>
      </w:tblGrid>
      <w:tr>
        <w:trPr>
          <w:cantSplit/>
          <w:tblHeader/>
        </w:trPr>
        <w:tc>
          <w:tcPr>
            <w:tcW w:type="dxa" w:w="147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969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855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建档与切换</w:t>
            </w:r>
          </w:p>
        </w:tc>
        <w:tc>
          <w:tcPr>
            <w:tcW w:type="dxa" w:w="39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年龄确认、模式、目标、时段、器材；专项与周期</w:t>
            </w:r>
          </w:p>
        </w:tc>
        <w:tc>
          <w:tcPr>
            <w:tcW w:type="dxa" w:w="385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档案校验结果、模式变化说明及对应首页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计划与替换</w:t>
            </w:r>
          </w:p>
        </w:tc>
        <w:tc>
          <w:tcPr>
            <w:tcW w:type="dxa" w:w="39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档案、动作库、既有计划、锁定项、可用时间</w:t>
            </w:r>
          </w:p>
        </w:tc>
        <w:tc>
          <w:tcPr>
            <w:tcW w:type="dxa" w:w="385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候选计划、无法满足的条件、变更对照和版本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视觉跟练</w:t>
            </w:r>
          </w:p>
        </w:tc>
        <w:tc>
          <w:tcPr>
            <w:tcW w:type="dxa" w:w="39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已授权摄像头视频、动作类型、机位校准</w:t>
            </w:r>
          </w:p>
        </w:tc>
        <w:tc>
          <w:tcPr>
            <w:tcW w:type="dxa" w:w="385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关键点、动作阶段、计数、置信度提示、事件摘要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运动员记录</w:t>
            </w:r>
          </w:p>
        </w:tc>
        <w:tc>
          <w:tcPr>
            <w:tcW w:type="dxa" w:w="39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实际分钟数、可选距离、0～10主观用力、训练日期</w:t>
            </w:r>
          </w:p>
        </w:tc>
        <w:tc>
          <w:tcPr>
            <w:tcW w:type="dxa" w:w="385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单次负荷、个人周趋势、计划实际对照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饮食分析</w:t>
            </w:r>
          </w:p>
        </w:tc>
        <w:tc>
          <w:tcPr>
            <w:tcW w:type="dxa" w:w="39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确认食物类别、可选份量、餐次完整度与时间</w:t>
            </w:r>
          </w:p>
        </w:tc>
        <w:tc>
          <w:tcPr>
            <w:tcW w:type="dxa" w:w="385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类别分布、分析依据、缺口说明和可选替换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个人报告</w:t>
            </w:r>
          </w:p>
        </w:tc>
        <w:tc>
          <w:tcPr>
            <w:tcW w:type="dxa" w:w="39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日期范围、训练与饮食记录</w:t>
            </w:r>
          </w:p>
        </w:tc>
        <w:tc>
          <w:tcPr>
            <w:tcW w:type="dxa" w:w="385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页面图表、统计口径、个人CSV/JSON导出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2.4 非功能需求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1）易用性：首次使用分步建档；两种模式使用相同导航；颜色之外同时使用文字表达状态。主要按钮支持键盘操作；摄像头拒绝授权时仍能手工记录。五名目标用户完成“建档—记录训练—查看分析”任务的成功人数目标不少于四人，并记录耗时与问题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2）性能：在1.4节基准设备及本地网络上，以30次重复测试统计，普通列表接口P95响应不超过1秒，单次计划生成或调整P95不超过3秒；测试数据为100个账号和累计1万条记录，10个并发请求。姿态功能以640×480输入进行性能测试，目标有效推理频率不低于10次/秒；达不到时降采样或提示手工记录，不伪造实时结果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3）可靠性：输入错误、网络中断及模型加载失败不能导致已保存数据损坏。写入使用事务与请求去重；计划修改采用版本检查。数据库每日备份，验收至少完成一次恢复演练；空数据与缺失数据均有明确显示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4）安全性：密码采用成熟库的加盐哈希存储；所有个人数据接口校验记录归属。摄像头原始视频默认只在浏览器处理且不上传；只保存用户确认的训练摘要。日志不得包含密码、令牌和完整饮食明细。删除账号应同步删除关联记录；离线备份最长30天轮换清理并说明保留期限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5）其他要求：分析可追溯到规则版本与来源。饮食记录不足时不生成全天营养结论；疼痛或明显不适触发停止自动加量提示。运动员负荷仅用于个人记录比较，不输出伤病预测、恢复评分或比赛成绩保证。以上限制贯穿两种模式及可选问答功能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 系统概要设计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3.1 系统总体架构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013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013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图3-1 系统总体架构图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采用浏览器/服务端架构。前端负责表单、日历、图表及本地姿态计算；FastAPI服务端负责身份校验、计划版本、规则分析和数据持久化。视觉原始画面不经过业务接口，前端仅在用户确认后提交计数和训练摘要。业务层通过统一的数据访问模块读写SQLite，规则及静态资源采用版本化管理。[3][7][8]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3.2 功能模块划分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891"/>
        <w:gridCol w:w="5499"/>
      </w:tblGrid>
      <w:tr>
        <w:trPr>
          <w:cantSplit/>
          <w:tblHeader/>
        </w:trPr>
        <w:tc>
          <w:tcPr>
            <w:tcW w:type="dxa" w:w="90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模块编号</w:t>
            </w:r>
          </w:p>
        </w:tc>
        <w:tc>
          <w:tcPr>
            <w:tcW w:type="dxa" w:w="2891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模块名称</w:t>
            </w:r>
          </w:p>
        </w:tc>
        <w:tc>
          <w:tcPr>
            <w:tcW w:type="dxa" w:w="5499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主要功能</w:t>
            </w:r>
          </w:p>
        </w:tc>
      </w:tr>
      <w:tr>
        <w:trPr>
          <w:cantSplit/>
        </w:trPr>
        <w:tc>
          <w:tcPr>
            <w:tcW w:type="dxa" w:w="90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M1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用户档案与双模式模块</w:t>
            </w:r>
          </w:p>
        </w:tc>
        <w:tc>
          <w:tcPr>
            <w:tcW w:type="dxa" w:w="549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账号、建档、模式切换、个人数据控制；F01～F02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M2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训练计划与调整模块</w:t>
            </w:r>
          </w:p>
        </w:tc>
        <w:tc>
          <w:tcPr>
            <w:tcW w:type="dxa" w:w="549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大众模板、运动员周期、替换、预览、确认与锁定；F03～F04、F07</w:t>
            </w:r>
          </w:p>
        </w:tc>
      </w:tr>
      <w:tr>
        <w:trPr>
          <w:cantSplit/>
        </w:trPr>
        <w:tc>
          <w:tcPr>
            <w:tcW w:type="dxa" w:w="90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M3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姿态跟练模块</w:t>
            </w:r>
          </w:p>
        </w:tc>
        <w:tc>
          <w:tcPr>
            <w:tcW w:type="dxa" w:w="549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授权、机位校准、关键点、两个动作计数与异常降级；F05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M4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训练记录与负荷模块</w:t>
            </w:r>
          </w:p>
        </w:tc>
        <w:tc>
          <w:tcPr>
            <w:tcW w:type="dxa" w:w="549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完成记录、主观用力、距离时长、个人负荷汇总；F06、F08</w:t>
            </w:r>
          </w:p>
        </w:tc>
      </w:tr>
      <w:tr>
        <w:trPr>
          <w:cantSplit/>
        </w:trPr>
        <w:tc>
          <w:tcPr>
            <w:tcW w:type="dxa" w:w="90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M5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饮食记录与结构分析模块</w:t>
            </w:r>
          </w:p>
        </w:tc>
        <w:tc>
          <w:tcPr>
            <w:tcW w:type="dxa" w:w="549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餐次确认、类别分析、来源说明、训练日时间线；F09～F10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M6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报告与可视化模块</w:t>
            </w:r>
          </w:p>
        </w:tc>
        <w:tc>
          <w:tcPr>
            <w:tcW w:type="dxa" w:w="549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计划实际对照、个人趋势、记录完整度与导出；F11</w:t>
            </w:r>
          </w:p>
        </w:tc>
      </w:tr>
      <w:tr>
        <w:trPr>
          <w:cantSplit/>
        </w:trPr>
        <w:tc>
          <w:tcPr>
            <w:tcW w:type="dxa" w:w="90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M7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内容规则与系统支撑模块</w:t>
            </w:r>
          </w:p>
        </w:tc>
        <w:tc>
          <w:tcPr>
            <w:tcW w:type="dxa" w:w="549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资料审核、版本、权限、日志、备份及恢复；F12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M8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可选交互扩展模块</w:t>
            </w:r>
          </w:p>
        </w:tc>
        <w:tc>
          <w:tcPr>
            <w:tcW w:type="dxa" w:w="549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照片辅助、配餐实验室、问答和可选回放；F13～F16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3.3 模块关系及数据流程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59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5935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图3-2 主要业务数据流程图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M1输出档案与当前模式给M2、M5；M2引用M7的动作与规则，生成候选计划，用户确认后保存。M3产生动作摘要，交给M4与手工反馈合并；M4保存实际记录，供M2提出调整、M6生成趋势。M5保存确认餐次与分析依据，M6将其与训练日期关联。M8只提供可选候选或展示，不绕过M1权限与M2/M5的确认环节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模式切换只更新后续操作的界面配置；每条计划保留创建时的模式与规则版本。未完成旧计划继续可见，只有用户明确复制或调整后才形成新模式下的计划，防止静默覆盖。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3.4 主要技术方案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3.4.1 图形界面技术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采用Vue 3和TypeScript构建响应式网页，使用日历和训练卡展示计划，Canvas叠加关键点，ECharts绘制趋势。训练页面把实时计数与数据保存分离，避免网络波动打断本地跟练；重操作可放入Web Worker，手机端若性能不足则保留记录与报告功能。[3][7]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3.4.2 数据存储技术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SQLite适合课程项目单实例部署，减少环境配置；使用SQLAlchemy统一数据访问并通过迁移脚本管理结构。训练、饮食和计划版本采用关系表，分析解释保留结构化摘要和规则版本。大体积视频不写入数据库。计划确认在同一事务中校验旧版本并写入新版本；数据库备份采用可保持一致性的备份方式，不直接复制正在写入的文件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3.4.3 核心算法或处理方法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1）条件化训练推荐：先按模式、经验、器材、场地、时间及用户限制过滤动作，再依据训练模板组合候选。排序考虑用户偏好、最近完成情况及相对原计划的改动量；约束无法满足时返回具体冲突，不强行安排。运动员首期以用户录入的跑步周期为基准，仅提出局部时间或辅助动作调整，不自动制定专业训练强度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2）视觉计数：以MediaPipe关键点为输入，做置信度过滤和平滑，选取与动作相关的角度或位移，通过“起始—运动—返回”的状态机计数。采用迟滞区间和最短阶段持续时间减少抖动误计。阈值基于标注样本与机位校准确定，不能当作通用标准姿势；保存模型版本、动作配置和人工修正次数。[3]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3）运动员负荷记录：采用session-RPE方法，将训练后填写的整体主观用力程度（0～10）与实际训练时长（分钟）相乘，得到任意单位AU的单次记录值；同一统计周期相加形成周汇总。该方法参考相关研究，产品应统一填写提示与口径，并仅用于同一用户的趋势回顾。未填写强度的训练标为“负荷缺失”，不能按0计算或据此判定伤病风险。[6]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4）饮食结构规则：先区分“类别确认”“份量估计”和“记录完整度”，再对已确认食物进行类别覆盖分析。一般建议参考《中国居民膳食指南（2022）》；对于运动员，增加训练时间线与用户自定目标对照，不套用未经审核的竞技营养阈值。混合菜可人工拆分，无法判断的类别保持未知；只有具有明确来源与单位的食物数据才参加营养估算。[4]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5）验证方法：准备至少40段经同意采集或授权的动作测试片段，两个动作各不少于20段，含完整动作、半程、停顿和遮挡；至少5名参与者，调参样本与验收样本按参与者隔离。人工复核计数作为基准；另设20组计划约束案例和20组饮食/缺失案例。报告误计、漏计、失败条件与运行环境，不只展示成功片段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 模块概要设计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各模块按模板规定的“模块功能、主要输入、主要输出、基本处理流程”描述；本阶段不展开函数、类及源代码。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 用户档案与双模式模块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4.1.1 模块功能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负责账号、成年范围确认、共同档案和运动员扩展档案；提供模式切换、导出与删除入口。模式只影响业务呈现，不改变数据所有权。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4.1.2 主要输入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账号凭据、目标、经验、可用时段、器材、用户限制、专项、周期阶段及模式切换确认。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4.1.3 主要输出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已校验的个人档案、当前模式、可推荐状态、变更说明；导出文件或删除结果。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4.1.4 基本处理流程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注册/登录 → 校验输入与范围 → 保存档案 → 展示模式差异 → 用户确认 → 加载对应首页。切换时检查未完成计划，保留历史并提示后续处理。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 训练计划与调整模块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4.2.1 模块功能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负责基础模板推荐、4周跑步计划录入/复制、日历、锁定训练和版本化调整；规则无解时返回原因。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4.2.2 主要输入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M1档案、可用时段、动作/模板库、既有计划、M4实际反馈及规则版本。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4.2.3 主要输出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候选计划、动作替换列表、变更对照、解释记录和用户确认后的计划新版本。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4.2.4 基本处理流程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读取约束 → 过滤候选 → 组织时段与训练项 → 检查冲突 → 展示计划。调整时先固定完成项和锁定项，再生成局部变动预览；确认时检查版本，一次事务保存。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 姿态跟练模块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4.3.1 模块功能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负责授权和机位引导、两个动作的关键点显示、状态转换、计数、暂停与手工修正；不输出医学或姿势安全结论。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4.3.2 主要输入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本地视频帧、选定动作、模型与动作规则版本、校准结果、开始/暂停指令。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4.3.3 主要输出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实时阶段、次数、可靠性提示、动作事件摘要、用户确认后的最终次数。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4.3.4 基本处理流程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检查设备权限 → 加载模型 → 指导完整入镜 → 推理和过滤关键点 → 平滑及状态机识别 → 更新计数 → 用户结束并校正 → 提交摘要。遮挡期间冻结判断，恢复后重新进入稳定起始状态。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 训练记录与负荷模块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4.4.1 模块功能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统一保存跟练与手工训练；运动员记录跑步距离、时长、训练类型与session-RPE，计算个人可比的记录负荷。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4.4.2 主要输入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计划项或临时训练标记、动作摘要、实际时间、组次/距离、主观用力、未完成原因及不适反馈。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4.4.3 主要输出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持久化训练记录、完成比例、单次AU、汇总结果与缺失提示，向计划模块提供事实反馈。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4.4.4 基本处理流程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读取或建立训练条目 → 合并手工与视觉摘要 → 校验单位和范围 → 用户确认 → 事务去重写入 → 计算统计。主观用力缺失时保留训练量但不填补负荷；不适反馈优先阻止自动加量。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 饮食记录与结构分析模块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4.5.1 模块功能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负责餐次建档、食物类别与份量确认、结构分析、记录完整度和训练日时间线；必要时显示一般适用范围。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4.5.2 主要输入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用户选定食物、混合菜拆分、可选份量、餐次时间与完整度、食物目录及规则来源；运动员训练日期。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4.5.3 主要输出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确认后的餐次、类别覆盖、缺失项、规则解释和可选替代；具备来源和份量时才有估算营养值。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4.5.4 基本处理流程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选择餐次 → 录入或修正食物 → 确认类别/份量 → 标记完整程度 → 引用版本规则分析 → 展示结构与未知项 → 保存。删除或修改食物后重新分析，不保留过期结论。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 报告与可视化模块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4.6.1 模块功能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聚合计划和实际训练、负荷趋势与饮食记录完整度；提供同一用户不同周期对照和结构化导出。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4.6.2 主要输入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日期范围、计划版本、训练记录、已确认餐次、缺失标记及用户导出请求。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4.6.3 主要输出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个人周报、计划实际对照、可追溯图表和CSV/JSON文件；空数据时给出明确提示。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4.6.4 基本处理流程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校验访问权限 → 按时区和日期选择数据 → 去重聚合 → 计算具有完整分母的指标 → 展示说明 → 可选导出。没有安排训练的一周不计算完成率；计划外训练单独统计。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 内容规则与系统支撑模块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4.7.1 模块功能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维护动作、食物、规则来源、发布版本及停用状态；提供权限校验、脱敏日志、备份与恢复。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4.7.2 主要输入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管理员审核的资料及来源、规则配置、备份计划和系统异常事件。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4.7.3 主要输出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可追溯资源版本、运行日志、备份文件与恢复结果；为其他模块提供稳定基础服务。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4.7.4 基本处理流程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录入资料 → 校验来源与字段 → 审核发布 → 新计划引用新版本，旧记录保留旧版本 → 监控异常 → 备份及恢复验证。管理员默认只见内容资料和脱敏统计。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 可选交互扩展模块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4.8.1 模块功能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承载照片辅助录入、食堂组合推荐、带来源问答和用户自愿保存的回放；独立启停，不改变必须功能的可用性。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4.8.2 主要输入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明确授权的照片/片段、菜单与预算、查询文本或规定格式的CSV；外部模型可用性状态。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4.8.3 主要输出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待确认的候选条目、配餐比较、引用来源回答或可回放文件；失败时提供手工入口。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4.8.4 基本处理流程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检查开关及授权 → 校验文件与请求 → 调用适配器 → 验证结果结构 → 显示不确定项 → 用户确认后进入M2/M5/M4。接口失败不生成假结果，不把媒体自动保存到服务器。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5. 数据概要设计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5.1 主要数据说明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458"/>
        <w:gridCol w:w="1984"/>
        <w:gridCol w:w="2438"/>
      </w:tblGrid>
      <w:tr>
        <w:trPr>
          <w:cantSplit/>
          <w:tblHeader/>
        </w:trPr>
        <w:tc>
          <w:tcPr>
            <w:tcW w:type="dxa" w:w="141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数据名称</w:t>
            </w:r>
          </w:p>
        </w:tc>
        <w:tc>
          <w:tcPr>
            <w:tcW w:type="dxa" w:w="345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数据内容</w:t>
            </w:r>
          </w:p>
        </w:tc>
        <w:tc>
          <w:tcPr>
            <w:tcW w:type="dxa" w:w="198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43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用户与档案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账号哈希、模式、目标、器材、专项、周期</w:t>
            </w:r>
          </w:p>
        </w:tc>
        <w:tc>
          <w:tcPr>
            <w:tcW w:type="dxa" w:w="198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用户输入</w:t>
            </w:r>
          </w:p>
        </w:tc>
        <w:tc>
          <w:tcPr>
            <w:tcW w:type="dxa" w:w="243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身份验证、个性化约束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动作与模板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动作属性、示范说明、识别配置、适用条件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审核资料</w:t>
            </w:r>
          </w:p>
        </w:tc>
        <w:tc>
          <w:tcPr>
            <w:tcW w:type="dxa" w:w="243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训练推荐和视觉计数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计划与版本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日期、计划项、锁定状态、模式和规则快照</w:t>
            </w:r>
          </w:p>
        </w:tc>
        <w:tc>
          <w:tcPr>
            <w:tcW w:type="dxa" w:w="198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规则生成或用户录入</w:t>
            </w:r>
          </w:p>
        </w:tc>
        <w:tc>
          <w:tcPr>
            <w:tcW w:type="dxa" w:w="243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执行、调整与变更追溯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训练记录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实际时长、次数、距离、主观用力、不适反馈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视觉摘要或手工确认</w:t>
            </w:r>
          </w:p>
        </w:tc>
        <w:tc>
          <w:tcPr>
            <w:tcW w:type="dxa" w:w="243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进度与个人负荷统计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食物与餐次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类别、可选营养来源、份量、时间、完整度</w:t>
            </w:r>
          </w:p>
        </w:tc>
        <w:tc>
          <w:tcPr>
            <w:tcW w:type="dxa" w:w="198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食物目录和用户确认</w:t>
            </w:r>
          </w:p>
        </w:tc>
        <w:tc>
          <w:tcPr>
            <w:tcW w:type="dxa" w:w="243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结构分析与时间线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分析与规则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解释文本、引用来源、规则版本、未知项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规则计算</w:t>
            </w:r>
          </w:p>
        </w:tc>
        <w:tc>
          <w:tcPr>
            <w:tcW w:type="dxa" w:w="243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复盘与结果核对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系统日志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匿名事件标识、错误类型、时间、版本</w:t>
            </w:r>
          </w:p>
        </w:tc>
        <w:tc>
          <w:tcPr>
            <w:tcW w:type="dxa" w:w="198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系统运行</w:t>
            </w:r>
          </w:p>
        </w:tc>
        <w:tc>
          <w:tcPr>
            <w:tcW w:type="dxa" w:w="243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故障定位；不记录私密正文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5.2 数据库或数据结构设计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采用关系数据库。下表说明主要实体用途和关系，字段约束及索引细节留待详细设计。所有个人业务表直接或经父表关联用户；删除、查询和导出均按用户边界执行。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91"/>
        <w:gridCol w:w="3572"/>
      </w:tblGrid>
      <w:tr>
        <w:trPr>
          <w:cantSplit/>
          <w:tblHeader/>
        </w:trPr>
        <w:tc>
          <w:tcPr>
            <w:tcW w:type="dxa" w:w="2835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主要数据表</w:t>
            </w:r>
          </w:p>
        </w:tc>
        <w:tc>
          <w:tcPr>
            <w:tcW w:type="dxa" w:w="2891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357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关系与约束</w:t>
            </w:r>
          </w:p>
        </w:tc>
      </w:tr>
      <w:tr>
        <w:trPr>
          <w:cantSplit/>
        </w:trPr>
        <w:tc>
          <w:tcPr>
            <w:tcW w:type="dxa" w:w="28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 / Profile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账号、共同档案及运动员扩展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User与Profile为1:1；模式保留变更时间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Exercise / Template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动作属性、基础训练模板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模板可引用多个动作；停用条目不可用于新推荐</w:t>
            </w:r>
          </w:p>
        </w:tc>
      </w:tr>
      <w:tr>
        <w:trPr>
          <w:cantSplit/>
        </w:trPr>
        <w:tc>
          <w:tcPr>
            <w:tcW w:type="dxa" w:w="28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Plan / PlanItem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版本化计划及具体训练安排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 1:N Plan；Plan 1:N PlanItem；跑步项可不引用动作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TrainingSession / Feedback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一次实际训练及反馈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 1:N Session；PlanItem 1:N Session；临时训练允许无PlanItem</w:t>
            </w:r>
          </w:p>
        </w:tc>
      </w:tr>
      <w:tr>
        <w:trPr>
          <w:cantSplit/>
        </w:trPr>
        <w:tc>
          <w:tcPr>
            <w:tcW w:type="dxa" w:w="28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Food / Meal / MealItem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食物目录、餐次和明细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 1:N Meal；Meal 1:N MealItem；MealItem N:1 Food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RuleVersion / AnalysisRecord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规则发布版本及分析快照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每条分析关联对应输入版本和规则；输入修改使旧结果失效</w:t>
            </w:r>
          </w:p>
        </w:tc>
      </w:tr>
      <w:tr>
        <w:trPr>
          <w:cantSplit/>
        </w:trPr>
        <w:tc>
          <w:tcPr>
            <w:tcW w:type="dxa" w:w="28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AuditEvent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脱敏安全事件与资料变更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记录操作者与动作，不存密码、令牌和敏感正文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5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5548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图5-1 主要数据实体关系图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训练时长统一存分钟，距离统一存米，显示时可转换；日期同时保留用户时区，周报按用户本地周统计。份量未知使用空值，不使用0代替；模型计数和人工修正值分别保留。原始视频默认不持久化，报告由业务记录生成，避免多份统计数据失去一致性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 用户界面与外部接口概要设计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6.1 用户界面原型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以下为拟实现界面的原型图，数值均为交互示例，不代表真实用户或实测结果。页面导航保持一致，模式切换先展示差异并确认；运动员专属数据以文字标识，避免仅靠颜色区分。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63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publ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32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图6-1 大众模式首页原型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大众首页突出“开始跟练”和“条件变化”两个入口，减少初学者选择负担。饮食卡片显示记录缺口；无训练计划时引导建档，未授权摄像头时可进入手工计时与记录。</w:t>
      </w:r>
    </w:p>
    <w:p w14:paraId="7723D27E" w14:textId="77777777" w:rsidR="008A059F" w:rsidRPr="001B50C2" w:rsidRDefault="008A059F" w:rsidP="004819B8">
      <w:pPr>
        <w:pStyle w:val="CourseHeading3"/>
        <w:pageBreakBefore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6.1.1 运动员模式首页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632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athle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32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图6-2 运动员模式训练台原型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训练台展示周期、计划实际对照和个人负荷。缺少主观用力的数据标记为未计入；AU为记录指标，不显示“最佳负荷区间”或恢复诊断。调整建议点击后展开旧值、新值和原因，支持接受、拒绝及保留锁定项。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6.1.2 摄像头跟练界面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632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po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32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图6-3 摄像头跟练原型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界面同时呈现动作、组次和计数状态。首次进入展示机位示范和权限说明；未完整入镜或置信度不足时提示暂停计数。用户可手工修正、结束训练和填写反馈；图中骨架为示意绘制，不是实际识别结果。</w:t>
      </w:r>
    </w:p>
    <w:p w14:paraId="7723D27E" w14:textId="77777777" w:rsidR="008A059F" w:rsidRPr="001B50C2" w:rsidRDefault="008A059F" w:rsidP="004819B8">
      <w:pPr>
        <w:pStyle w:val="CourseHeading3"/>
        <w:pageBreakBefore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6.1.3 饮食结构分析界面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632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foo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32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图6-4 可编辑餐盘与训练日时间线原型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先确认食物，再分析结构；份量和营养估算分别标注依据。大众模式显示类别与记录完整度，运动员模式增加训练时间对照。当前未记录的餐次不会被判定为未摄入；可选拍照识别只预填候选，不直接生成结论。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6.2 外部接口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458"/>
        <w:gridCol w:w="3572"/>
      </w:tblGrid>
      <w:tr>
        <w:trPr>
          <w:cantSplit/>
          <w:tblHeader/>
        </w:trPr>
        <w:tc>
          <w:tcPr>
            <w:tcW w:type="dxa" w:w="226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接口或资源</w:t>
            </w:r>
          </w:p>
        </w:tc>
        <w:tc>
          <w:tcPr>
            <w:tcW w:type="dxa" w:w="345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用途与主要数据</w:t>
            </w:r>
          </w:p>
        </w:tc>
        <w:tc>
          <w:tcPr>
            <w:tcW w:type="dxa" w:w="357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依赖及失败处理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浏览器摄像头接口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getUserMedia采集本地视频；需用户明确授权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HTTPS/localhost；拒绝授权则手工记录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MediaPipe模型资源 [3]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加载本地固定版本模型，输出人体关键点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随部署准备资源；加载失败关闭视觉功能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本系统业务接口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前端以JSON交换档案、计划、训练、餐次和报告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统一登录鉴权、数据校验与错误提示；重试不重复写入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审核后的本地数据文件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JSON/CSV初始化动作、食物目录、规则和来源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校验格式、单位及版本；异常条目拒绝导入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可选外部模型API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照片候选识别或带来源文本解释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默认关闭；单独授权并最小化传输，超时回退手工入口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导出与可选导入文件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个人CSV/JSON导出；规定结构的训练CSV导入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不承诺直连商业穿戴平台；导入先预览并去重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7. 异常情况与处理方案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350"/>
      </w:tblGrid>
      <w:tr>
        <w:trPr>
          <w:cantSplit/>
          <w:tblHeader/>
        </w:trPr>
        <w:tc>
          <w:tcPr>
            <w:tcW w:type="dxa" w:w="294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异常情况</w:t>
            </w:r>
          </w:p>
        </w:tc>
        <w:tc>
          <w:tcPr>
            <w:tcW w:type="dxa" w:w="6350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预期处理方式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必填项为空、数值越界或单位错误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定位到字段并提示允许范围；保留其他已填写内容，不保存无效记录。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不符合自动推荐适用范围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显示一般记录入口；暂停自动训练建议，不将运动员模式作为绕过入口。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模式切换时存在未完成计划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展示旧计划保留方式，明确切换影响；未确认则取消切换。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时间、器材或锁定项导致计划无解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列出冲突条件，提供修改时段/选择候选的入口；不擅自解除锁定。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多页面同时修改同一计划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版本不一致则拒绝覆盖，提示刷新并重新比较变更。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摄像头拒绝、模型加载失败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说明原因并提供手工计时、次数录入；其他功能继续可用。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遮挡、多人入镜或关键点不稳定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暂停相关动作判断，提示重新入镜和校准；不累计可疑次数。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运动中反馈疼痛或明显不适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提示停止当前训练并寻求适当专业帮助；取消自动加量建议，保留事实记录。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主观用力、份量或餐次记录缺失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明确标记未知；负荷或营养汇总注明覆盖范围，不以0补齐。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重复提交、断网或接口超时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幂等写入、提示重试；训练结束前保留当前页摘要，提醒不要关闭页面。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数据库写入失败或磁盘不足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回滚事务，给出失败提示并记录脱敏错误；恢复后可重新提交。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账号越权、会话失效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拒绝访问且不返回记录内容；要求重新登录，记录安全事件。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可选识别、问答产生不可信结果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不自动保存，不修改计划；提示确认或切回手工/规则功能。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删除记录后报告仍显示旧结果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使关联分析缓存失效并重算；删除账号执行级联清理及备份轮换。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8. 项目开发计划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按三人小组、六周开发安排制定相对计划，第一周从课程确认立项后开始。组员1负责前端与交互，组员2负责后端、数据与部署，组员3负责视觉、规则与算法验证；成员共同进行资料审核和集成测试。具体姓名与学号在封面补充，不预设实际开工日期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5669"/>
        <w:gridCol w:w="1757"/>
      </w:tblGrid>
      <w:tr>
        <w:trPr>
          <w:cantSplit/>
          <w:tblHeader/>
        </w:trPr>
        <w:tc>
          <w:tcPr>
            <w:tcW w:type="dxa" w:w="1871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669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175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负责人</w:t>
            </w:r>
          </w:p>
        </w:tc>
      </w:tr>
      <w:tr>
        <w:trPr>
          <w:cantSplit/>
        </w:trPr>
        <w:tc>
          <w:tcPr>
            <w:tcW w:type="dxa" w:w="187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第1周：需求与设计</w:t>
            </w:r>
          </w:p>
        </w:tc>
        <w:tc>
          <w:tcPr>
            <w:tcW w:type="dxa" w:w="56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确认双模式边界；完善原型与数据设计；摄像头两动作可行性试验；建立资料来源清单。交付设计文档与可行性记录。</w:t>
            </w:r>
          </w:p>
        </w:tc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全体；组员3负责视觉验证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第2周：基础业务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实现登录、档案、双模式入口、动作/食物目录、数据库迁移和接口约定。交付可操作页面及基础接口。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组员1、组员2；组员3整理数据</w:t>
            </w:r>
          </w:p>
        </w:tc>
      </w:tr>
      <w:tr>
        <w:trPr>
          <w:cantSplit/>
        </w:trPr>
        <w:tc>
          <w:tcPr>
            <w:tcW w:type="dxa" w:w="187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第3周：训练核心</w:t>
            </w:r>
          </w:p>
        </w:tc>
        <w:tc>
          <w:tcPr>
            <w:tcW w:type="dxa" w:w="56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完成大众模板、运动员跑步计划、锁定与版本、视觉计数和手工记录。交付两个模式训练演示。</w:t>
            </w:r>
          </w:p>
        </w:tc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组员1负责页面；组员2计划；组员3视觉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第4周：分析与联动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完成饮食结构、负荷汇总、周报及调整预览；处理缺失与冲突。交付完整业务流程。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组员2、组员3；组员1集成</w:t>
            </w:r>
          </w:p>
        </w:tc>
      </w:tr>
      <w:tr>
        <w:trPr>
          <w:cantSplit/>
        </w:trPr>
        <w:tc>
          <w:tcPr>
            <w:tcW w:type="dxa" w:w="187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第5周：测试与修正</w:t>
            </w:r>
          </w:p>
        </w:tc>
        <w:tc>
          <w:tcPr>
            <w:tcW w:type="dxa" w:w="56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执行隔离测试集、性能/权限/异常测试与五人可用性试用；核查安全边界和来源。修复高优先级缺陷。</w:t>
            </w:r>
          </w:p>
        </w:tc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全体，交叉复核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第6周：交付与验收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冻结必须功能，完成部署恢复演练、报告与PPT、录制演示；有余力再加入可选扩展。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全体；组员2负责部署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进度风险控制：第1周若视觉性能不足，优先简化机位与动作配置，并在第3周前完成两个限定动作验证；不可用手工计数冒充视觉验收。第4周后新增功能必须以不影响F01～F12为前提。任何必须功能范围变更均更新需求与验收清单后确认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关键验收：F01/F02用双账号隔离及切换回归验证；F03/F04/F07用20组约束和并发版本案例验证；F05按3.4.3节隔离样本核对计数；F06/F08用已知输入核对公式和缺失处理；F09/F10用20组餐次场景核对规则；F11检查图表与导出一致；F12完成规则发布、备份恢复和数据删除演练。</w:t>
      </w:r>
    </w:p>
    <w:p w14:paraId="6C243D6A" w14:textId="77777777" w:rsidR="008A059F" w:rsidRPr="001B50C2" w:rsidRDefault="008A059F" w:rsidP="004819B8">
      <w:pPr>
        <w:pStyle w:val="CourseHeading1"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9. 预期成果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（1）可运行的软件系统：同时具有大众模式与运动员模式，完整实现F01～F12；提供本地演示账号与初始化方式，不含真实用户隐私数据。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（2）完整源代码：包含前端、后端、数据库迁移、固定依赖、模型资源获取说明和配置示例，不包含密钥或账号密码。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（3）示例与验证数据：至少20个基础动作条目、40个食物条目、两种模式示例计划、经授权的动作验证片段及标注说明；附数据来源与许可信息。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（4）项目文档：本需求分析与概要设计、后续详细设计与实现说明、测试报告、部署与使用手册、数据与隐私处理说明。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（5）展示材料：项目总结PPT和演示视频，覆盖模式切换、两动作计数、运动员计划实际对照、负荷缺失处理、饮食结构及调整确认。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（6）效果证据：提交计数误差、接口耗时、规则案例和可用性试用记录，同时披露未达到的指标与已知限制。项目成果以软件与验证结果为准，不以减重、竞技成绩提升或医疗效果作为验收承诺。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参考资料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资料用于技术选型、规则来源和产品调研。正式实现应固定实际采用的包、模型与资料版本，并在食物、动作及规则条目中记录具体来源。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[1] Garmin. Garmin Support Center：Training Load相关说明. https://support.garmin.com/ （检索词：Training Load；访问日期：2026-10-13）。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[2] MyFitnessPal. Help Center：Food Diary与Nutrition相关说明. https://support.myfitnesspal.com/ （访问日期：2026-10-13）。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[3] Google AI Edge. Pose Landmarker与Web实现指南. https://ai.google.dev/edge/mediapipe/solutions/vision/pose_landmarker/web_js （访问日期：2026-10-13）。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[4] 中国营养学会. 中国居民膳食指南（2022）. 北京：人民卫生出版社，2022. 官方信息：https://www.cnsoc.org/ 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[5] World Health Organization. Physical activity. https://www.who.int/news-room/fact-sheets/detail/physical-activity （访问日期：2026-10-13；用于一般活动范围与适用边界背景）。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[6] Foster C, Florhaug JA, Franklin J, et al. A New Approach to Monitoring Exercise Training. Journal of Strength and Conditioning Research, 2001, 15(1):109–115. PubMed：https://pubmed.ncbi.nlm.nih.gov/11708692/ 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[7] Vue.js. 官方指南. https://vuejs.org/guide/introduction.html （访问日期：2026-10-13）。</w:t>
      </w:r>
    </w:p>
    <w:p w14:paraId="6A9AF7B1" w14:textId="77777777" w:rsidR="008A059F" w:rsidRPr="001B50C2" w:rsidRDefault="008A059F" w:rsidP="004819B8">
      <w:pPr>
        <w:keepNext w:val="0"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[8] FastAPI. 官方文档. https://fastapi.tiangolo.com/ （访问日期：2026-10-13）。</w:t>
      </w:r>
    </w:p>
    <w:sectPr w:rsidR="008A059F" w:rsidRPr="001B50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91" w:right="1247" w:bottom="1134" w:left="1361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B42D" w14:textId="77777777" w:rsidR="008D0164" w:rsidRDefault="008D01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55A1A5" w14:textId="77777777" w:rsidR="008D0164" w:rsidRDefault="008D01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2326" w14:textId="77777777" w:rsidR="001F05F3" w:rsidRDefault="001F05F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D3F7B" w14:textId="042BE06B" w:rsidR="00FE72DA" w:rsidRDefault="00000000">
    <w:pPr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1F05F3">
      <w:rPr>
        <w:rFonts w:hint="eastAsia"/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23CA" w14:textId="77777777" w:rsidR="001F05F3" w:rsidRDefault="001F05F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2C8F" w14:textId="77777777" w:rsidR="008D0164" w:rsidRDefault="008D01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B767DB" w14:textId="77777777" w:rsidR="008D0164" w:rsidRDefault="008D01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3CDE" w14:textId="77777777" w:rsidR="001F05F3" w:rsidRDefault="001F05F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F855" w14:textId="71316AC0" w:rsidR="00FE72DA" w:rsidRDefault="00182ED4">
    <w:pPr>
      <w:pBdr>
        <w:bottom w:val="single" w:sz="4" w:space="4" w:color="D9E2F3"/>
      </w:pBdr>
      <w:jc w:val="right"/>
      <w:rPr>
        <w:rFonts w:hint="eastAsia"/>
      </w:rPr>
    </w:pPr>
    <w:r>
      <w:rPr>
        <w:rFonts w:hint="eastAsia"/>
        <w:color w:val="8A8A8A"/>
        <w:sz w:val="17"/>
      </w:rPr>
      <w:t>《</w:t>
    </w:r>
    <w:r>
      <w:rPr>
        <w:color w:val="8A8A8A"/>
        <w:sz w:val="17"/>
      </w:rPr>
      <w:t>程序设计综合实验</w:t>
    </w:r>
    <w:r>
      <w:rPr>
        <w:rFonts w:hint="eastAsia"/>
        <w:color w:val="8A8A8A"/>
        <w:sz w:val="17"/>
      </w:rPr>
      <w:t>》</w:t>
    </w:r>
    <w:r>
      <w:rPr>
        <w:color w:val="8A8A8A"/>
        <w:sz w:val="17"/>
      </w:rPr>
      <w:t xml:space="preserve"> </w:t>
    </w:r>
    <w:proofErr w:type="gramStart"/>
    <w:r>
      <w:rPr>
        <w:color w:val="8A8A8A"/>
        <w:sz w:val="17"/>
      </w:rPr>
      <w:t>|  项目需求分析与概要设计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4C8A" w14:textId="77777777" w:rsidR="001F05F3" w:rsidRDefault="001F05F3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709A"/>
    <w:multiLevelType w:val="multilevel"/>
    <w:tmpl w:val="0FD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01C06"/>
    <w:multiLevelType w:val="multilevel"/>
    <w:tmpl w:val="790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1CF7"/>
    <w:multiLevelType w:val="multilevel"/>
    <w:tmpl w:val="C08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154C"/>
    <w:multiLevelType w:val="multilevel"/>
    <w:tmpl w:val="6D6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A2150"/>
    <w:multiLevelType w:val="multilevel"/>
    <w:tmpl w:val="7DF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302CD"/>
    <w:multiLevelType w:val="multilevel"/>
    <w:tmpl w:val="40D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91629"/>
    <w:multiLevelType w:val="multilevel"/>
    <w:tmpl w:val="A83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00C6F"/>
    <w:multiLevelType w:val="multilevel"/>
    <w:tmpl w:val="655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53705"/>
    <w:multiLevelType w:val="multilevel"/>
    <w:tmpl w:val="DC9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E0D01"/>
    <w:multiLevelType w:val="multilevel"/>
    <w:tmpl w:val="313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F400E"/>
    <w:multiLevelType w:val="multilevel"/>
    <w:tmpl w:val="39A0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9414E"/>
    <w:multiLevelType w:val="multilevel"/>
    <w:tmpl w:val="29A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043997">
    <w:abstractNumId w:val="6"/>
  </w:num>
  <w:num w:numId="2" w16cid:durableId="541787999">
    <w:abstractNumId w:val="4"/>
  </w:num>
  <w:num w:numId="3" w16cid:durableId="1424110894">
    <w:abstractNumId w:val="1"/>
  </w:num>
  <w:num w:numId="4" w16cid:durableId="35550766">
    <w:abstractNumId w:val="8"/>
  </w:num>
  <w:num w:numId="5" w16cid:durableId="1100301820">
    <w:abstractNumId w:val="9"/>
  </w:num>
  <w:num w:numId="6" w16cid:durableId="545483011">
    <w:abstractNumId w:val="7"/>
  </w:num>
  <w:num w:numId="7" w16cid:durableId="904871873">
    <w:abstractNumId w:val="10"/>
  </w:num>
  <w:num w:numId="8" w16cid:durableId="601768586">
    <w:abstractNumId w:val="3"/>
  </w:num>
  <w:num w:numId="9" w16cid:durableId="1794204829">
    <w:abstractNumId w:val="11"/>
  </w:num>
  <w:num w:numId="10" w16cid:durableId="62022776">
    <w:abstractNumId w:val="2"/>
  </w:num>
  <w:num w:numId="11" w16cid:durableId="734625611">
    <w:abstractNumId w:val="0"/>
  </w:num>
  <w:num w:numId="12" w16cid:durableId="2070952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9F"/>
    <w:rsid w:val="00151CEC"/>
    <w:rsid w:val="00182ED4"/>
    <w:rsid w:val="00196EFA"/>
    <w:rsid w:val="001B50C2"/>
    <w:rsid w:val="001F05F3"/>
    <w:rsid w:val="0028101E"/>
    <w:rsid w:val="00285DB0"/>
    <w:rsid w:val="003D1508"/>
    <w:rsid w:val="0043008F"/>
    <w:rsid w:val="004819B8"/>
    <w:rsid w:val="00603069"/>
    <w:rsid w:val="00721F00"/>
    <w:rsid w:val="00781984"/>
    <w:rsid w:val="00805202"/>
    <w:rsid w:val="00880CA5"/>
    <w:rsid w:val="008A059F"/>
    <w:rsid w:val="008C65DD"/>
    <w:rsid w:val="008D0164"/>
    <w:rsid w:val="00A11425"/>
    <w:rsid w:val="00A54964"/>
    <w:rsid w:val="00B42840"/>
    <w:rsid w:val="00BD4DDE"/>
    <w:rsid w:val="00C304AE"/>
    <w:rsid w:val="00EB4A51"/>
    <w:rsid w:val="00ED5F7D"/>
    <w:rsid w:val="00FC5FEA"/>
    <w:rsid w:val="00FE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7911E"/>
  <w15:chartTrackingRefBased/>
  <w15:docId w15:val="{370DC678-C5D4-4D1E-A18D-1CBE7264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324" w:lineRule="auto"/>
    </w:pPr>
    <w:rPr>
      <w:rFonts w:ascii="等线" w:eastAsia="等线" w:hAnsi="等线"/>
      <w:color w:val="262626"/>
      <w:sz w:val="21"/>
    </w:rPr>
  </w:style>
  <w:style w:type="paragraph" w:styleId="1">
    <w:name w:val="heading 1"/>
    <w:basedOn w:val="a"/>
    <w:next w:val="a"/>
    <w:link w:val="10"/>
    <w:uiPriority w:val="9"/>
    <w:qFormat/>
    <w:rsid w:val="008A059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59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59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5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5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5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5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5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5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5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5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5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5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5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5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5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59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5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5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5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5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059F"/>
    <w:rPr>
      <w:b/>
      <w:bCs/>
      <w:smallCaps/>
      <w:color w:val="2F5496" w:themeColor="accent1" w:themeShade="BF"/>
      <w:spacing w:val="5"/>
    </w:rPr>
  </w:style>
  <w:style w:type="paragraph" w:customStyle="1" w:styleId="CourseHeading1">
    <w:name w:val="Course Heading 1"/>
    <w:pPr>
      <w:keepNext/>
      <w:spacing w:before="280"/>
    </w:pPr>
    <w:rPr>
      <w:rFonts w:ascii="等线" w:eastAsia="等线" w:hAnsi="等线"/>
      <w:b/>
      <w:color w:val="1F4E79"/>
      <w:sz w:val="32"/>
    </w:rPr>
  </w:style>
  <w:style w:type="paragraph" w:customStyle="1" w:styleId="CourseHeading2">
    <w:name w:val="Course Heading 2"/>
    <w:pPr>
      <w:keepNext/>
      <w:spacing w:before="200" w:after="100"/>
    </w:pPr>
    <w:rPr>
      <w:rFonts w:ascii="等线" w:eastAsia="等线" w:hAnsi="等线"/>
      <w:b/>
      <w:color w:val="2F75B5"/>
      <w:sz w:val="26"/>
    </w:rPr>
  </w:style>
  <w:style w:type="paragraph" w:customStyle="1" w:styleId="CourseHeading3">
    <w:name w:val="Course Heading 3"/>
    <w:pPr>
      <w:keepNext/>
      <w:spacing w:before="140" w:after="60"/>
    </w:pPr>
    <w:rPr>
      <w:rFonts w:ascii="等线" w:eastAsia="等线" w:hAnsi="等线"/>
      <w:b/>
      <w:color w:val="1F4E79"/>
    </w:rPr>
  </w:style>
  <w:style w:type="paragraph" w:customStyle="1" w:styleId="Hint">
    <w:name w:val="Hint"/>
    <w:pPr>
      <w:spacing w:after="60" w:line="288" w:lineRule="auto"/>
      <w:ind w:left="198"/>
    </w:pPr>
    <w:rPr>
      <w:rFonts w:ascii="等线" w:eastAsia="等线" w:hAnsi="等线"/>
      <w:color w:val="666666"/>
      <w:sz w:val="19"/>
    </w:rPr>
  </w:style>
  <w:style w:type="paragraph" w:customStyle="1" w:styleId="CaptionLike">
    <w:name w:val="CaptionLike"/>
  </w:style>
  <w:style w:type="paragraph" w:styleId="ae">
    <w:name w:val="header"/>
    <w:basedOn w:val="a"/>
    <w:link w:val="af"/>
    <w:uiPriority w:val="99"/>
    <w:unhideWhenUsed/>
    <w:rsid w:val="001F05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05F3"/>
    <w:rPr>
      <w:rFonts w:ascii="等线" w:eastAsia="等线" w:hAnsi="等线"/>
      <w:color w:val="262626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05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05F3"/>
    <w:rPr>
      <w:rFonts w:ascii="等线" w:eastAsia="等线" w:hAnsi="等线"/>
      <w:color w:val="26262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1266</Words>
  <Characters>1558</Characters>
  <Application>Microsoft Office Word</Application>
  <DocSecurity>0</DocSecurity>
  <Lines>194</Lines>
  <Paragraphs>282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项目需求分析与概要设计文档（美化版）</dc:title>
  <dc:subject>程序设计综合实验课程项目文档模板</dc:subject>
  <dc:creator>Liyun Tu</dc:creator>
  <cp:keywords/>
  <dc:description/>
  <cp:lastModifiedBy>Liyun Tu</cp:lastModifiedBy>
  <cp:revision>32</cp:revision>
  <dcterms:created xsi:type="dcterms:W3CDTF">2026-09-29T08:11:00Z</dcterms:created>
  <dcterms:modified xsi:type="dcterms:W3CDTF">2026-09-29T09:28:00Z</dcterms:modified>
</cp:coreProperties>
</file>