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E1A" w:rsidRDefault="0057304D">
      <w:pPr>
        <w:pStyle w:val="Heading1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COURSE INFORMATION</w:t>
      </w:r>
    </w:p>
    <w:p w:rsidR="00E23E1A" w:rsidRDefault="0057304D">
      <w:pPr>
        <w:pStyle w:val="Heading1"/>
        <w:numPr>
          <w:ilvl w:val="0"/>
          <w:numId w:val="2"/>
        </w:numPr>
        <w:ind w:left="0" w:firstLine="0"/>
      </w:pPr>
      <w:r>
        <w:t>TESTING AND CONTINUOUS INTEGRATION</w:t>
      </w:r>
    </w:p>
    <w:p w:rsidR="00E23E1A" w:rsidRDefault="00E23E1A">
      <w:pPr>
        <w:pStyle w:val="BodyText"/>
      </w:pPr>
    </w:p>
    <w:p w:rsidR="00E23E1A" w:rsidRDefault="0057304D">
      <w:pPr>
        <w:pStyle w:val="Heading2"/>
        <w:numPr>
          <w:ilvl w:val="1"/>
          <w:numId w:val="2"/>
        </w:numPr>
        <w:ind w:left="0" w:firstLine="0"/>
      </w:pPr>
      <w:r>
        <w:t>Introduction</w:t>
      </w:r>
    </w:p>
    <w:p w:rsidR="00E23E1A" w:rsidRDefault="0057304D">
      <w:pPr>
        <w:pStyle w:val="BodyText"/>
      </w:pPr>
      <w:r>
        <w:t xml:space="preserve">In this course you will learn and apply different types of testing techniques by using a variety of JAVA frameworks. Also, best code practices </w:t>
      </w:r>
      <w:r w:rsidR="00DA64D1">
        <w:t xml:space="preserve">&amp; </w:t>
      </w:r>
      <w:r>
        <w:t xml:space="preserve">quality </w:t>
      </w:r>
      <w:r w:rsidR="00DA64D1">
        <w:t>assurance</w:t>
      </w:r>
      <w:r>
        <w:t xml:space="preserve"> will be discussed through a process of </w:t>
      </w:r>
      <w:r w:rsidR="00B9012C">
        <w:t>continuous</w:t>
      </w:r>
      <w:r>
        <w:t xml:space="preserve"> integration. </w:t>
      </w:r>
    </w:p>
    <w:p w:rsidR="00E23E1A" w:rsidRDefault="0057304D">
      <w:pPr>
        <w:pStyle w:val="Heading2"/>
        <w:numPr>
          <w:ilvl w:val="1"/>
          <w:numId w:val="2"/>
        </w:numPr>
        <w:ind w:left="0" w:firstLine="0"/>
      </w:pPr>
      <w:r>
        <w:t>Prerequisites</w:t>
      </w:r>
    </w:p>
    <w:p w:rsidR="00E23E1A" w:rsidRDefault="0057304D">
      <w:pPr>
        <w:numPr>
          <w:ilvl w:val="0"/>
          <w:numId w:val="4"/>
        </w:numPr>
      </w:pPr>
      <w:r>
        <w:t>Knowledge of the JAVA language;</w:t>
      </w:r>
    </w:p>
    <w:p w:rsidR="00E23E1A" w:rsidRDefault="0057304D">
      <w:pPr>
        <w:numPr>
          <w:ilvl w:val="0"/>
          <w:numId w:val="4"/>
        </w:numPr>
      </w:pPr>
      <w:r>
        <w:t>Knowledge of Client-server architecture (CSA) and web responses (WEB1-2-3);</w:t>
      </w:r>
    </w:p>
    <w:p w:rsidR="00E23E1A" w:rsidRDefault="0057304D">
      <w:pPr>
        <w:numPr>
          <w:ilvl w:val="0"/>
          <w:numId w:val="4"/>
        </w:numPr>
      </w:pPr>
      <w:r>
        <w:t>Knowledge of a JAVA web application technique (RESTful or SOAP using either POJO and Apache Tom Cat or Spring);</w:t>
      </w:r>
    </w:p>
    <w:p w:rsidR="00E23E1A" w:rsidRDefault="0057304D">
      <w:pPr>
        <w:numPr>
          <w:ilvl w:val="0"/>
          <w:numId w:val="4"/>
        </w:numPr>
      </w:pPr>
      <w:r>
        <w:t>Math 3 (graphs theory and search algorithms);</w:t>
      </w:r>
    </w:p>
    <w:p w:rsidR="00E23E1A" w:rsidRDefault="0057304D">
      <w:pPr>
        <w:numPr>
          <w:ilvl w:val="0"/>
          <w:numId w:val="4"/>
        </w:numPr>
      </w:pPr>
      <w:r>
        <w:t>Knowledge of GIT (pulling, pushing</w:t>
      </w:r>
      <w:r w:rsidR="00F9656E">
        <w:t>, branching</w:t>
      </w:r>
      <w:r>
        <w:t xml:space="preserve"> and merging);</w:t>
      </w:r>
    </w:p>
    <w:p w:rsidR="00E23E1A" w:rsidRDefault="0057304D">
      <w:pPr>
        <w:pStyle w:val="Heading2"/>
        <w:numPr>
          <w:ilvl w:val="1"/>
          <w:numId w:val="2"/>
        </w:numPr>
        <w:ind w:left="0" w:firstLine="0"/>
      </w:pPr>
      <w:bookmarkStart w:id="0" w:name="__DdeLink__370_618670902"/>
      <w:bookmarkEnd w:id="0"/>
      <w:r>
        <w:t>Learning goals</w:t>
      </w:r>
    </w:p>
    <w:p w:rsidR="00E23E1A" w:rsidRDefault="0057304D">
      <w:pPr>
        <w:pStyle w:val="BodyText"/>
      </w:pPr>
      <w:r>
        <w:t xml:space="preserve">The learning outcomes of this course are: </w:t>
      </w:r>
    </w:p>
    <w:p w:rsidR="00E23E1A" w:rsidRDefault="0057304D">
      <w:pPr>
        <w:numPr>
          <w:ilvl w:val="0"/>
          <w:numId w:val="5"/>
        </w:numPr>
      </w:pPr>
      <w:r>
        <w:t>The student knows how to install a Jenkins continuous integration environment;</w:t>
      </w:r>
    </w:p>
    <w:p w:rsidR="00E23E1A" w:rsidRDefault="0057304D">
      <w:pPr>
        <w:numPr>
          <w:ilvl w:val="0"/>
          <w:numId w:val="5"/>
        </w:numPr>
      </w:pPr>
      <w:r>
        <w:t>The students can apply the use of Jenkins to a JAVA web application development;</w:t>
      </w:r>
    </w:p>
    <w:p w:rsidR="00E23E1A" w:rsidRDefault="0057304D">
      <w:pPr>
        <w:numPr>
          <w:ilvl w:val="0"/>
          <w:numId w:val="5"/>
        </w:numPr>
      </w:pPr>
      <w:r>
        <w:t>The students apply use of code styles in the assignment project;</w:t>
      </w:r>
    </w:p>
    <w:p w:rsidR="00E23E1A" w:rsidRDefault="0057304D">
      <w:pPr>
        <w:numPr>
          <w:ilvl w:val="0"/>
          <w:numId w:val="5"/>
        </w:numPr>
      </w:pPr>
      <w:r>
        <w:t xml:space="preserve">The students learn how to make their code decoupled by using building tools (Gradle) and manage dependencies; </w:t>
      </w:r>
    </w:p>
    <w:p w:rsidR="00E23E1A" w:rsidRDefault="0057304D">
      <w:pPr>
        <w:numPr>
          <w:ilvl w:val="0"/>
          <w:numId w:val="5"/>
        </w:numPr>
      </w:pPr>
      <w:r>
        <w:t>The students are capable of unit tests, using JUnit framework, that cover web application project they work on during the course;</w:t>
      </w:r>
    </w:p>
    <w:p w:rsidR="00E23E1A" w:rsidRDefault="0057304D">
      <w:pPr>
        <w:numPr>
          <w:ilvl w:val="0"/>
          <w:numId w:val="5"/>
        </w:numPr>
      </w:pPr>
      <w:r>
        <w:t>The students know how to write unit test that make use of mockups, using Mockito Framework, to cover the web application project they work on during the course;</w:t>
      </w:r>
    </w:p>
    <w:p w:rsidR="00E23E1A" w:rsidRDefault="0057304D">
      <w:pPr>
        <w:numPr>
          <w:ilvl w:val="0"/>
          <w:numId w:val="5"/>
        </w:numPr>
      </w:pPr>
      <w:r>
        <w:t>The student can make use of JMeter to run stress tests on his application and create a report with it (APDEX);</w:t>
      </w:r>
    </w:p>
    <w:p w:rsidR="00E23E1A" w:rsidRDefault="0057304D">
      <w:pPr>
        <w:numPr>
          <w:ilvl w:val="0"/>
          <w:numId w:val="5"/>
        </w:numPr>
      </w:pPr>
      <w:r>
        <w:t>The student learn about code coverage and perform code analysis making use of Intellj IDEA and applying it on the project they will work on.;</w:t>
      </w:r>
    </w:p>
    <w:p w:rsidR="00E23E1A" w:rsidRDefault="0057304D">
      <w:pPr>
        <w:numPr>
          <w:ilvl w:val="0"/>
          <w:numId w:val="5"/>
        </w:numPr>
      </w:pPr>
      <w:r>
        <w:t>The student practices collaboration by making pull requests through online collaboration tools and fixing them via GIT clients;</w:t>
      </w:r>
    </w:p>
    <w:p w:rsidR="004F5117" w:rsidRDefault="004F5117">
      <w:pPr>
        <w:pStyle w:val="Heading2"/>
        <w:numPr>
          <w:ilvl w:val="0"/>
          <w:numId w:val="0"/>
        </w:numPr>
      </w:pPr>
    </w:p>
    <w:p w:rsidR="004F5117" w:rsidRDefault="004F5117">
      <w:pPr>
        <w:overflowPunct/>
        <w:rPr>
          <w:rFonts w:ascii="Liberation Sans" w:hAnsi="Liberation Sans"/>
          <w:b/>
          <w:bCs/>
          <w:sz w:val="32"/>
          <w:szCs w:val="32"/>
        </w:rPr>
      </w:pPr>
      <w:r>
        <w:br w:type="page"/>
      </w:r>
    </w:p>
    <w:p w:rsidR="00E23E1A" w:rsidRDefault="0057304D">
      <w:pPr>
        <w:pStyle w:val="Heading2"/>
        <w:numPr>
          <w:ilvl w:val="1"/>
          <w:numId w:val="2"/>
        </w:numPr>
        <w:ind w:left="0" w:firstLine="0"/>
      </w:pPr>
      <w:r>
        <w:lastRenderedPageBreak/>
        <w:t xml:space="preserve">Testing and final Assessment </w:t>
      </w: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t>How is the subject tested?</w:t>
      </w:r>
    </w:p>
    <w:p w:rsidR="00E23E1A" w:rsidRDefault="0057304D">
      <w:pPr>
        <w:spacing w:after="140"/>
        <w:jc w:val="both"/>
      </w:pPr>
      <w:r>
        <w:rPr>
          <w:color w:val="000000"/>
        </w:rPr>
        <w:t>During the lectures the student is prepared to face the practical assignments and receives formative feedback (to which extent did you achieve the learning goals) and feed-forward (constructive guidance on how to improve) from the teacher.</w:t>
      </w:r>
    </w:p>
    <w:p w:rsidR="00E23E1A" w:rsidRDefault="0057304D">
      <w:pPr>
        <w:spacing w:after="140"/>
        <w:jc w:val="both"/>
      </w:pPr>
      <w:r>
        <w:rPr>
          <w:color w:val="000000"/>
        </w:rPr>
        <w:t>The final summative examination is conducted at the end and aims to verify the acquired skills. The test consists in a check that considers the learning goals</w:t>
      </w:r>
      <w:r w:rsidR="0098698A">
        <w:rPr>
          <w:color w:val="000000"/>
        </w:rPr>
        <w:t>, and is based on the group assignment.</w:t>
      </w:r>
    </w:p>
    <w:p w:rsidR="00E23E1A" w:rsidRDefault="0098698A">
      <w:pPr>
        <w:spacing w:after="140"/>
        <w:jc w:val="both"/>
      </w:pPr>
      <w:r>
        <w:rPr>
          <w:color w:val="000000"/>
        </w:rPr>
        <w:t>T</w:t>
      </w:r>
      <w:r w:rsidR="0057304D">
        <w:rPr>
          <w:color w:val="000000"/>
        </w:rPr>
        <w:t xml:space="preserve">he final mark in in the range 1 – 100 (translated then into the related two digits value). For a complete </w:t>
      </w:r>
      <w:r w:rsidR="00C507D2">
        <w:rPr>
          <w:color w:val="000000"/>
        </w:rPr>
        <w:t xml:space="preserve">overview of the schedule, and a </w:t>
      </w:r>
      <w:r w:rsidR="0057304D">
        <w:rPr>
          <w:color w:val="000000"/>
        </w:rPr>
        <w:t>list of the assessment criteria</w:t>
      </w:r>
      <w:r>
        <w:rPr>
          <w:color w:val="000000"/>
        </w:rPr>
        <w:t>, see description of the group assignment</w:t>
      </w:r>
      <w:r w:rsidR="0057304D">
        <w:rPr>
          <w:color w:val="000000"/>
        </w:rPr>
        <w:t>.</w:t>
      </w:r>
      <w:r w:rsidR="00B656FF">
        <w:rPr>
          <w:color w:val="000000"/>
        </w:rPr>
        <w:t xml:space="preserve"> Each individual student needs to be able to </w:t>
      </w:r>
      <w:r w:rsidR="00424079">
        <w:rPr>
          <w:color w:val="000000"/>
        </w:rPr>
        <w:t>individual</w:t>
      </w:r>
      <w:r w:rsidR="001C52F4">
        <w:rPr>
          <w:color w:val="000000"/>
        </w:rPr>
        <w:t>l</w:t>
      </w:r>
      <w:r w:rsidR="00424079">
        <w:rPr>
          <w:color w:val="000000"/>
        </w:rPr>
        <w:t xml:space="preserve">y </w:t>
      </w:r>
      <w:r w:rsidR="00B656FF">
        <w:rPr>
          <w:color w:val="000000"/>
        </w:rPr>
        <w:t>demonstrate, explain and be able to make changes to the handed in work.</w:t>
      </w:r>
    </w:p>
    <w:p w:rsidR="004F5117" w:rsidRDefault="004F5117" w:rsidP="004F5117">
      <w:pPr>
        <w:pStyle w:val="Heading3"/>
        <w:numPr>
          <w:ilvl w:val="0"/>
          <w:numId w:val="2"/>
        </w:numPr>
      </w:pP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t>Additional Resources</w:t>
      </w:r>
    </w:p>
    <w:p w:rsidR="00E23E1A" w:rsidRDefault="0057304D">
      <w:pPr>
        <w:spacing w:after="140"/>
        <w:jc w:val="both"/>
        <w:rPr>
          <w:color w:val="000000"/>
        </w:rPr>
      </w:pPr>
      <w:r>
        <w:rPr>
          <w:color w:val="000000"/>
        </w:rPr>
        <w:t xml:space="preserve">All additional aids stored locally on your laptop are allowed to </w:t>
      </w:r>
      <w:r w:rsidR="005D49E2">
        <w:rPr>
          <w:color w:val="000000"/>
        </w:rPr>
        <w:t xml:space="preserve">be </w:t>
      </w:r>
      <w:r>
        <w:rPr>
          <w:color w:val="000000"/>
        </w:rPr>
        <w:t>use</w:t>
      </w:r>
      <w:r w:rsidR="005D49E2">
        <w:rPr>
          <w:color w:val="000000"/>
        </w:rPr>
        <w:t>d</w:t>
      </w:r>
      <w:r>
        <w:rPr>
          <w:color w:val="000000"/>
        </w:rPr>
        <w:t xml:space="preserve">. Also web resources are allowed but plagiarism is </w:t>
      </w:r>
      <w:r>
        <w:rPr>
          <w:b/>
          <w:bCs/>
          <w:color w:val="000000"/>
        </w:rPr>
        <w:t xml:space="preserve">not </w:t>
      </w:r>
      <w:r>
        <w:rPr>
          <w:color w:val="000000"/>
        </w:rPr>
        <w:t xml:space="preserve">allowed. The code written by somebody else </w:t>
      </w:r>
      <w:r>
        <w:rPr>
          <w:b/>
          <w:bCs/>
          <w:color w:val="000000"/>
        </w:rPr>
        <w:t>must receive acknowledgment.</w:t>
      </w:r>
      <w:r>
        <w:rPr>
          <w:color w:val="000000"/>
        </w:rPr>
        <w:t xml:space="preserve"> </w:t>
      </w:r>
    </w:p>
    <w:p w:rsidR="00E23E1A" w:rsidRDefault="0057304D">
      <w:pPr>
        <w:pStyle w:val="Heading3"/>
        <w:numPr>
          <w:ilvl w:val="2"/>
          <w:numId w:val="2"/>
        </w:numPr>
        <w:spacing w:before="0" w:after="140"/>
        <w:ind w:left="0" w:firstLine="0"/>
        <w:jc w:val="both"/>
        <w:rPr>
          <w:color w:val="000000"/>
        </w:rPr>
      </w:pPr>
      <w:r>
        <w:rPr>
          <w:color w:val="000000"/>
        </w:rPr>
        <w:t>Retakes</w:t>
      </w:r>
    </w:p>
    <w:p w:rsidR="00E23E1A" w:rsidRDefault="0057304D">
      <w:pPr>
        <w:pStyle w:val="BodyText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The re-take is allowed in the following semester. </w:t>
      </w: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t>Final Mark</w:t>
      </w:r>
    </w:p>
    <w:p w:rsidR="00E23E1A" w:rsidRDefault="0057304D">
      <w:pPr>
        <w:spacing w:after="140"/>
        <w:jc w:val="both"/>
      </w:pPr>
      <w:r>
        <w:rPr>
          <w:color w:val="000000"/>
        </w:rPr>
        <w:t>Student gets a mark on the examination in the range 1 – 10. The value are rounded to half a point.</w:t>
      </w: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t>Education hours</w:t>
      </w:r>
    </w:p>
    <w:p w:rsidR="00E23E1A" w:rsidRDefault="0057304D">
      <w:pPr>
        <w:spacing w:after="140"/>
        <w:jc w:val="both"/>
      </w:pPr>
      <w:r>
        <w:rPr>
          <w:color w:val="000000"/>
        </w:rPr>
        <w:t xml:space="preserve">The course lasts 7 weeks. Each week there are 2 + 2 contact hours with the teacher. </w:t>
      </w:r>
      <w:r w:rsidR="00DA64D1">
        <w:rPr>
          <w:color w:val="000000"/>
        </w:rPr>
        <w:t>Some</w:t>
      </w:r>
      <w:r>
        <w:rPr>
          <w:color w:val="000000"/>
        </w:rPr>
        <w:t xml:space="preserve"> topic</w:t>
      </w:r>
      <w:r w:rsidR="00DA64D1">
        <w:rPr>
          <w:color w:val="000000"/>
        </w:rPr>
        <w:t>s</w:t>
      </w:r>
      <w:r>
        <w:rPr>
          <w:color w:val="000000"/>
        </w:rPr>
        <w:t xml:space="preserve"> </w:t>
      </w:r>
      <w:r w:rsidR="00DA64D1">
        <w:rPr>
          <w:color w:val="000000"/>
        </w:rPr>
        <w:t>are</w:t>
      </w:r>
      <w:r>
        <w:rPr>
          <w:color w:val="000000"/>
        </w:rPr>
        <w:t xml:space="preserve"> shortly introduced by the teacher</w:t>
      </w:r>
      <w:r w:rsidR="00DA64D1">
        <w:rPr>
          <w:color w:val="000000"/>
        </w:rPr>
        <w:t xml:space="preserve">, but most studying needs to be done by the student himself. Topics can have </w:t>
      </w:r>
      <w:r w:rsidR="00000610">
        <w:rPr>
          <w:color w:val="000000"/>
        </w:rPr>
        <w:t>reviews</w:t>
      </w:r>
      <w:r w:rsidR="007C7E5C">
        <w:rPr>
          <w:color w:val="000000"/>
        </w:rPr>
        <w:t xml:space="preserve"> </w:t>
      </w:r>
      <w:r w:rsidR="00000610">
        <w:rPr>
          <w:color w:val="000000"/>
        </w:rPr>
        <w:t xml:space="preserve">(quiz, class discussion, </w:t>
      </w:r>
      <w:r w:rsidR="00DA64D1">
        <w:rPr>
          <w:color w:val="000000"/>
        </w:rPr>
        <w:t>self-tests</w:t>
      </w:r>
      <w:r w:rsidR="007C7E5C">
        <w:rPr>
          <w:color w:val="000000"/>
        </w:rPr>
        <w:t>, etc.</w:t>
      </w:r>
      <w:r w:rsidR="00000610">
        <w:rPr>
          <w:color w:val="000000"/>
        </w:rPr>
        <w:t>)</w:t>
      </w:r>
      <w:r w:rsidR="00DA64D1">
        <w:rPr>
          <w:color w:val="000000"/>
        </w:rPr>
        <w:t xml:space="preserve"> which students can use to test their knowledge.</w:t>
      </w:r>
      <w:r>
        <w:rPr>
          <w:color w:val="000000"/>
        </w:rPr>
        <w:t xml:space="preserve"> </w:t>
      </w:r>
      <w:r w:rsidR="007C7E5C">
        <w:rPr>
          <w:color w:val="000000"/>
        </w:rPr>
        <w:t>Educational</w:t>
      </w:r>
      <w:r w:rsidR="00DA64D1">
        <w:rPr>
          <w:color w:val="000000"/>
        </w:rPr>
        <w:t xml:space="preserve"> hours are </w:t>
      </w:r>
      <w:r w:rsidR="007C7E5C">
        <w:rPr>
          <w:color w:val="000000"/>
        </w:rPr>
        <w:t xml:space="preserve">also </w:t>
      </w:r>
      <w:r w:rsidR="00DA64D1">
        <w:rPr>
          <w:color w:val="000000"/>
        </w:rPr>
        <w:t>used for feedback and feed-forward.</w:t>
      </w:r>
    </w:p>
    <w:p w:rsidR="00E23E1A" w:rsidRDefault="0057304D">
      <w:pPr>
        <w:spacing w:after="140"/>
        <w:jc w:val="both"/>
      </w:pPr>
      <w:r>
        <w:rPr>
          <w:color w:val="000000"/>
        </w:rPr>
        <w:t xml:space="preserve">For each topic a practical assignment is made available, which helps students to </w:t>
      </w:r>
      <w:r w:rsidR="00DA64D1">
        <w:rPr>
          <w:color w:val="000000"/>
        </w:rPr>
        <w:t>hone skills</w:t>
      </w:r>
      <w:r>
        <w:rPr>
          <w:color w:val="000000"/>
        </w:rPr>
        <w:t xml:space="preserve"> and for which students can get feedback from the teacher. These practical assignment</w:t>
      </w:r>
      <w:r w:rsidR="00DA64D1">
        <w:rPr>
          <w:color w:val="000000"/>
        </w:rPr>
        <w:t>s</w:t>
      </w:r>
      <w:r>
        <w:rPr>
          <w:color w:val="000000"/>
        </w:rPr>
        <w:t xml:space="preserve"> are not mandatory but they represent a good tutorial </w:t>
      </w:r>
      <w:r w:rsidR="007C7E5C">
        <w:rPr>
          <w:color w:val="000000"/>
        </w:rPr>
        <w:t>to gain the skills needed for the final assignment.</w:t>
      </w: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br/>
        <w:t>Support material</w:t>
      </w:r>
    </w:p>
    <w:p w:rsidR="00E23E1A" w:rsidRDefault="0057304D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Slides and practical assignments on the SharePoint.</w:t>
      </w:r>
    </w:p>
    <w:p w:rsidR="00E23E1A" w:rsidRDefault="0057304D">
      <w:pPr>
        <w:numPr>
          <w:ilvl w:val="0"/>
          <w:numId w:val="3"/>
        </w:numPr>
        <w:jc w:val="both"/>
      </w:pPr>
      <w:r>
        <w:rPr>
          <w:color w:val="000000"/>
        </w:rPr>
        <w:t>Book “</w:t>
      </w:r>
      <w:bookmarkStart w:id="1" w:name="title"/>
      <w:bookmarkStart w:id="2" w:name="productTitle"/>
      <w:bookmarkEnd w:id="1"/>
      <w:bookmarkEnd w:id="2"/>
      <w:r>
        <w:rPr>
          <w:color w:val="000000"/>
        </w:rPr>
        <w:t>Practical Unit Testing with JUnit and Mockito” by Tomasz Kaczanowski.</w:t>
      </w:r>
      <w:r w:rsidR="00DA64D1">
        <w:rPr>
          <w:color w:val="000000"/>
        </w:rPr>
        <w:t xml:space="preserve"> (mandatory)</w:t>
      </w:r>
    </w:p>
    <w:p w:rsidR="00E23E1A" w:rsidRDefault="00E23E1A">
      <w:pPr>
        <w:jc w:val="both"/>
        <w:rPr>
          <w:color w:val="000000"/>
        </w:rPr>
      </w:pPr>
    </w:p>
    <w:p w:rsidR="00E23E1A" w:rsidRDefault="0057304D">
      <w:pPr>
        <w:pStyle w:val="Heading3"/>
        <w:numPr>
          <w:ilvl w:val="2"/>
          <w:numId w:val="2"/>
        </w:numPr>
        <w:ind w:left="0" w:firstLine="0"/>
      </w:pPr>
      <w:r>
        <w:t>Tutorials</w:t>
      </w:r>
    </w:p>
    <w:p w:rsidR="00E23E1A" w:rsidRPr="005D49E2" w:rsidRDefault="0057304D">
      <w:pPr>
        <w:numPr>
          <w:ilvl w:val="0"/>
          <w:numId w:val="6"/>
        </w:numPr>
        <w:jc w:val="both"/>
      </w:pPr>
      <w:r>
        <w:rPr>
          <w:color w:val="000000"/>
        </w:rPr>
        <w:t>Each practical includes a part of suggested reading and tutorials.</w:t>
      </w:r>
    </w:p>
    <w:p w:rsidR="005D49E2" w:rsidRDefault="005D49E2" w:rsidP="005D49E2">
      <w:pPr>
        <w:jc w:val="both"/>
        <w:rPr>
          <w:color w:val="000000"/>
        </w:rPr>
      </w:pPr>
    </w:p>
    <w:p w:rsidR="005D49E2" w:rsidRDefault="005D49E2" w:rsidP="005D49E2">
      <w:pPr>
        <w:jc w:val="both"/>
        <w:rPr>
          <w:color w:val="000000"/>
        </w:rPr>
      </w:pPr>
    </w:p>
    <w:p w:rsidR="005D49E2" w:rsidRDefault="005D49E2" w:rsidP="005D49E2">
      <w:pPr>
        <w:pStyle w:val="Heading1"/>
        <w:numPr>
          <w:ilvl w:val="0"/>
          <w:numId w:val="8"/>
        </w:numPr>
        <w:overflowPunct/>
        <w:ind w:left="0" w:firstLine="0"/>
      </w:pPr>
      <w:r>
        <w:lastRenderedPageBreak/>
        <w:t>Planning</w:t>
      </w:r>
    </w:p>
    <w:p w:rsidR="005D49E2" w:rsidRDefault="005D49E2" w:rsidP="005D49E2">
      <w:pPr>
        <w:pStyle w:val="BodyText"/>
        <w:numPr>
          <w:ilvl w:val="0"/>
          <w:numId w:val="9"/>
        </w:numPr>
        <w:tabs>
          <w:tab w:val="left" w:pos="-262"/>
        </w:tabs>
        <w:overflowPunct/>
        <w:ind w:left="0" w:firstLine="0"/>
      </w:pPr>
      <w:r>
        <w:t>The following describes the topics covered each week and the corresponding book chapters suggested for reading.</w:t>
      </w:r>
    </w:p>
    <w:tbl>
      <w:tblPr>
        <w:tblW w:w="9683" w:type="dxa"/>
        <w:tblInd w:w="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4"/>
        <w:gridCol w:w="1094"/>
        <w:gridCol w:w="1473"/>
        <w:gridCol w:w="1831"/>
        <w:gridCol w:w="1767"/>
        <w:gridCol w:w="1347"/>
        <w:gridCol w:w="1657"/>
      </w:tblGrid>
      <w:tr w:rsidR="00000610" w:rsidTr="00000610">
        <w:tc>
          <w:tcPr>
            <w:tcW w:w="514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99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W#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99"/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473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99"/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b/>
                <w:bCs/>
              </w:rPr>
            </w:pPr>
          </w:p>
        </w:tc>
        <w:tc>
          <w:tcPr>
            <w:tcW w:w="1831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99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During week (individual)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99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Practical (team of 3)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99"/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b/>
                <w:bCs/>
              </w:rPr>
            </w:pP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99"/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b/>
                <w:bCs/>
                <w:sz w:val="16"/>
                <w:szCs w:val="16"/>
              </w:rPr>
              <w:t>Topics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1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intro TCI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study chapter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1, 2, 3.1-3.5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do assig</w:t>
            </w:r>
            <w:r w:rsidR="00E6379C">
              <w:t>n</w:t>
            </w:r>
            <w:r>
              <w:t>ment 1</w:t>
            </w:r>
          </w:p>
          <w:p w:rsidR="00000610" w:rsidRDefault="00B9012C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study</w:t>
            </w:r>
            <w:r w:rsidR="00000610">
              <w:t xml:space="preserve"> chapter 3.6-3.10, 5.1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start assignment 2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install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Intro to course rules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 xml:space="preserve">Introduction to testing and </w:t>
            </w:r>
            <w:r w:rsidR="00B9012C">
              <w:rPr>
                <w:rFonts w:ascii="Arial" w:hAnsi="Arial"/>
                <w:sz w:val="16"/>
                <w:szCs w:val="16"/>
              </w:rPr>
              <w:t>continuous</w:t>
            </w:r>
            <w:r w:rsidRPr="000F7CDF">
              <w:rPr>
                <w:rFonts w:ascii="Arial" w:hAnsi="Arial"/>
                <w:sz w:val="16"/>
                <w:szCs w:val="16"/>
              </w:rPr>
              <w:t xml:space="preserve"> integration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Unit testing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JUnit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File Structure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Direct/Indirect inputs and outputs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Asserts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Jenkins intro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Gradle the building tool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2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 on week1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finish assignment 2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study chapter 5.2-5.3, 4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start assignment 3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Introduction to TCI project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 xml:space="preserve">→ </w:t>
            </w:r>
            <w:r>
              <w:rPr>
                <w:rFonts w:ascii="Arial" w:hAnsi="Arial"/>
              </w:rPr>
              <w:t>Set up of the project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</w:rPr>
              <w:t>→ CI server setup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</w:rPr>
              <w:t xml:space="preserve">→ Production server setup 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Unit testing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Parameterized Tests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Checking for thrown exceptions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Test fixture JUnit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Jenkins + Gradle, how to combine them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Gradle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Dependency management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Adding dep. to builds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3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 on week2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finish assignment 3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study chapter 5.4-5.6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start assignment 4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project start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Test doubles and types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Mocking, Stubs, Spy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Code coverage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Report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sz w:val="16"/>
                <w:szCs w:val="16"/>
              </w:rPr>
            </w:pP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4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 on week3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finish assignment 4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study chapter 6.1-6.5, 7.7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start assignment 5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project continue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Unit testing techniques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Matchers and custom matchers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Testing the time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Capturing Arguments to Collaborators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Throwing exceptions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Pull requests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Reviews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5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 on week4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8.4, 9.1-9.3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10.1, 10.3, 11.3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+ Resources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project continue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Code styles and their importance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Comment in testing (JavaDoc)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 xml:space="preserve">Stress Tests 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JMeter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Run test</w:t>
            </w:r>
          </w:p>
          <w:p w:rsidR="00000610" w:rsidRPr="000F7CDF" w:rsidRDefault="00000610" w:rsidP="000F7CDF">
            <w:pPr>
              <w:pStyle w:val="TableContents"/>
              <w:numPr>
                <w:ilvl w:val="1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Reports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6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 on week5</w:t>
            </w:r>
          </w:p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own selection of subjects needed for project.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project continue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Maintainable tests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Simple cases to break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Empiric unit testing</w:t>
            </w:r>
          </w:p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sz w:val="16"/>
                <w:szCs w:val="16"/>
              </w:rPr>
              <w:t>Automated tests</w:t>
            </w:r>
          </w:p>
        </w:tc>
      </w:tr>
      <w:tr w:rsidR="00000610" w:rsidTr="00000610">
        <w:tc>
          <w:tcPr>
            <w:tcW w:w="514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t>7</w:t>
            </w:r>
          </w:p>
        </w:tc>
        <w:tc>
          <w:tcPr>
            <w:tcW w:w="1094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307A69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review</w:t>
            </w:r>
          </w:p>
        </w:tc>
        <w:tc>
          <w:tcPr>
            <w:tcW w:w="1473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lef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307A69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work on project</w:t>
            </w:r>
          </w:p>
        </w:tc>
        <w:tc>
          <w:tcPr>
            <w:tcW w:w="176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rFonts w:ascii="Arial" w:hAnsi="Arial"/>
                <w:b/>
                <w:bCs/>
              </w:rPr>
              <w:t>TCI project continue</w:t>
            </w:r>
          </w:p>
        </w:tc>
        <w:tc>
          <w:tcPr>
            <w:tcW w:w="134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2" w:space="0" w:color="000001"/>
              <w:right w:val="single" w:sz="2" w:space="0" w:color="000001"/>
            </w:tcBorders>
          </w:tcPr>
          <w:p w:rsidR="00000610" w:rsidRPr="000F7CDF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rFonts w:ascii="Arial" w:hAnsi="Arial"/>
                <w:b/>
                <w:bCs/>
                <w:sz w:val="16"/>
                <w:szCs w:val="16"/>
              </w:rPr>
              <w:t>TCI project showcase</w:t>
            </w:r>
          </w:p>
        </w:tc>
      </w:tr>
      <w:tr w:rsidR="00000610" w:rsidTr="00000610"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rPr>
                <w:b/>
                <w:bCs/>
              </w:rPr>
              <w:lastRenderedPageBreak/>
              <w:t>8&amp;9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</w:p>
        </w:tc>
        <w:tc>
          <w:tcPr>
            <w:tcW w:w="1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</w:pPr>
            <w:r>
              <w:t>-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0610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rFonts w:ascii="Arial" w:hAnsi="Arial"/>
                <w:b/>
                <w:bCs/>
              </w:rPr>
            </w:pP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00610" w:rsidRPr="00E763FD" w:rsidRDefault="00000610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 w:rsidRPr="000F7CDF">
              <w:rPr>
                <w:b/>
                <w:bCs/>
                <w:sz w:val="16"/>
                <w:szCs w:val="16"/>
              </w:rPr>
              <w:t>Hand in TCI project</w:t>
            </w:r>
            <w:r w:rsidR="00E763FD">
              <w:rPr>
                <w:b/>
                <w:bCs/>
                <w:sz w:val="16"/>
                <w:szCs w:val="16"/>
              </w:rPr>
              <w:t xml:space="preserve"> (Monday w8)</w:t>
            </w:r>
          </w:p>
          <w:p w:rsidR="00E763FD" w:rsidRPr="000F7CDF" w:rsidRDefault="00E763FD" w:rsidP="000F7CDF">
            <w:pPr>
              <w:pStyle w:val="TableContents"/>
              <w:numPr>
                <w:ilvl w:val="0"/>
                <w:numId w:val="9"/>
              </w:numPr>
              <w:overflowPunct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individual assessment (w8/9)</w:t>
            </w:r>
          </w:p>
        </w:tc>
      </w:tr>
    </w:tbl>
    <w:p w:rsidR="005D49E2" w:rsidRDefault="005D49E2" w:rsidP="005D49E2">
      <w:pPr>
        <w:numPr>
          <w:ilvl w:val="0"/>
          <w:numId w:val="9"/>
        </w:numPr>
        <w:overflowPunct/>
      </w:pPr>
    </w:p>
    <w:p w:rsidR="005D49E2" w:rsidRDefault="005D49E2" w:rsidP="005D49E2">
      <w:pPr>
        <w:numPr>
          <w:ilvl w:val="0"/>
          <w:numId w:val="9"/>
        </w:numPr>
        <w:overflowPunct/>
      </w:pPr>
      <w:r>
        <w:t>* = optional assignment, strongly recommended.</w:t>
      </w:r>
    </w:p>
    <w:p w:rsidR="00647539" w:rsidRDefault="00647539" w:rsidP="00647539">
      <w:pPr>
        <w:overflowPunct/>
      </w:pPr>
    </w:p>
    <w:p w:rsidR="005D49E2" w:rsidRDefault="005D49E2" w:rsidP="005D49E2">
      <w:pPr>
        <w:pStyle w:val="Heading1"/>
        <w:numPr>
          <w:ilvl w:val="0"/>
          <w:numId w:val="8"/>
        </w:numPr>
        <w:overflowPunct/>
        <w:ind w:left="0" w:firstLine="0"/>
      </w:pPr>
      <w:bookmarkStart w:id="3" w:name="__RefHeading___Toc1902_966786922"/>
      <w:bookmarkStart w:id="4" w:name="__RefHeading___Toc1904_966786922"/>
      <w:bookmarkEnd w:id="3"/>
      <w:bookmarkEnd w:id="4"/>
      <w:r>
        <w:t>The final project assessment</w:t>
      </w:r>
    </w:p>
    <w:p w:rsidR="00647539" w:rsidRPr="00647539" w:rsidRDefault="00647539" w:rsidP="00647539">
      <w:pPr>
        <w:pStyle w:val="BodyText"/>
        <w:numPr>
          <w:ilvl w:val="0"/>
          <w:numId w:val="9"/>
        </w:numPr>
        <w:tabs>
          <w:tab w:val="left" w:pos="-355"/>
        </w:tabs>
        <w:overflowPunct/>
        <w:ind w:left="0" w:firstLine="0"/>
        <w:rPr>
          <w:b/>
          <w:u w:val="single"/>
        </w:rPr>
      </w:pPr>
      <w:bookmarkStart w:id="5" w:name="__DdeLink__1896_966786922"/>
      <w:r w:rsidRPr="00647539">
        <w:rPr>
          <w:b/>
          <w:u w:val="single"/>
        </w:rPr>
        <w:t>DEADLINE for this project is MONDAY in WEEK8 at 8.00h!</w:t>
      </w:r>
    </w:p>
    <w:p w:rsidR="00647539" w:rsidRDefault="0068209D" w:rsidP="005D49E2">
      <w:pPr>
        <w:pStyle w:val="BodyText"/>
        <w:numPr>
          <w:ilvl w:val="0"/>
          <w:numId w:val="9"/>
        </w:numPr>
        <w:tabs>
          <w:tab w:val="left" w:pos="-355"/>
        </w:tabs>
        <w:overflowPunct/>
        <w:ind w:left="0" w:firstLine="0"/>
      </w:pPr>
      <w:r>
        <w:t>D</w:t>
      </w:r>
      <w:r w:rsidR="00647539">
        <w:t>eadlines are strict. It is not possible to hand it in late!</w:t>
      </w:r>
    </w:p>
    <w:p w:rsidR="005D49E2" w:rsidRDefault="005D49E2" w:rsidP="005D49E2">
      <w:pPr>
        <w:pStyle w:val="BodyText"/>
        <w:numPr>
          <w:ilvl w:val="0"/>
          <w:numId w:val="9"/>
        </w:numPr>
        <w:tabs>
          <w:tab w:val="left" w:pos="-355"/>
        </w:tabs>
        <w:overflowPunct/>
        <w:ind w:left="0" w:firstLine="0"/>
      </w:pPr>
      <w:r>
        <w:t>The assessment is run on the final project developed by the students only.</w:t>
      </w:r>
      <w:bookmarkEnd w:id="5"/>
      <w:r>
        <w:t xml:space="preserve"> </w:t>
      </w:r>
    </w:p>
    <w:p w:rsidR="0068209D" w:rsidRDefault="0068209D" w:rsidP="00647539">
      <w:pPr>
        <w:pStyle w:val="BodyText"/>
        <w:numPr>
          <w:ilvl w:val="0"/>
          <w:numId w:val="9"/>
        </w:numPr>
        <w:tabs>
          <w:tab w:val="left" w:pos="-355"/>
        </w:tabs>
        <w:overflowPunct/>
        <w:ind w:left="0" w:firstLine="0"/>
      </w:pPr>
      <w:r>
        <w:t>There are general requirements for the course, shown below, and specific ones for the assignment (see the assignment in week2). The general requirements also apply to the group assignment.</w:t>
      </w:r>
    </w:p>
    <w:p w:rsidR="005D49E2" w:rsidRPr="0068209D" w:rsidRDefault="0068209D" w:rsidP="005D49E2">
      <w:pPr>
        <w:pStyle w:val="Heading3"/>
        <w:numPr>
          <w:ilvl w:val="1"/>
          <w:numId w:val="9"/>
        </w:numPr>
        <w:overflowPunct/>
        <w:spacing w:before="240"/>
        <w:rPr>
          <w:b w:val="0"/>
          <w:bCs w:val="0"/>
        </w:rPr>
      </w:pPr>
      <w:bookmarkStart w:id="6" w:name="__RefHeading___Toc318_411264791"/>
      <w:bookmarkEnd w:id="6"/>
      <w:r>
        <w:t xml:space="preserve">Course </w:t>
      </w:r>
      <w:r w:rsidR="005D49E2">
        <w:t>Requirements</w:t>
      </w:r>
    </w:p>
    <w:tbl>
      <w:tblPr>
        <w:tblW w:w="8054" w:type="dxa"/>
        <w:tblInd w:w="113" w:type="dxa"/>
        <w:tblLook w:val="04A0" w:firstRow="1" w:lastRow="0" w:firstColumn="1" w:lastColumn="0" w:noHBand="0" w:noVBand="1"/>
      </w:tblPr>
      <w:tblGrid>
        <w:gridCol w:w="1120"/>
        <w:gridCol w:w="5160"/>
        <w:gridCol w:w="1774"/>
      </w:tblGrid>
      <w:tr w:rsidR="0068209D" w:rsidRPr="0068209D" w:rsidTr="0068209D">
        <w:trPr>
          <w:trHeight w:val="29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MoSCoW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Learning goal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M:6,S:7,C:8,W:9+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general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local TDD and automated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local TDD, shared automated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local TDD, shared CI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extra's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CI &amp; build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only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only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IDE for Sw development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and Git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and Git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deliver description &amp; config of local setup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deliver description &amp; config of shared setup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building pipelines for CI tasks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gradle dependency management for project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gradle build,test from commandline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gradle continuous build,test  commandline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gradle deploy to local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gradle deploy to other platforms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and Git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local CI environment using gradle and Git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OTAP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DEV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TST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ACC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multi user TST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multiple target environments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multiple target platforms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lastRenderedPageBreak/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setup shared CI environment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TDD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define purpose of classes and methods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define behaviour of classes and methods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create tests based on behaviour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tests to create code implementing behaviour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explain TDD process versus own way of working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junit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terminology used for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make use of unit tests testing state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make use of unit tests using mock(s)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parameterized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matchers in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create custom matchers in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rules in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create custom rules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code coverage tools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mutation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performance/stress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exception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M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tools for specific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assertion messages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S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asynchonous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multithreaded testing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time dependent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C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use collections or file tests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W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group work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 xml:space="preserve">see group assignment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 xml:space="preserve">requirements </w:t>
            </w:r>
            <w:bookmarkStart w:id="7" w:name="_GoBack"/>
            <w:bookmarkEnd w:id="7"/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in week2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  <w:tr w:rsidR="0068209D" w:rsidRPr="0068209D" w:rsidTr="0068209D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09D" w:rsidRPr="0068209D" w:rsidRDefault="0068209D" w:rsidP="0068209D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6820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</w:tr>
    </w:tbl>
    <w:p w:rsidR="0068209D" w:rsidRDefault="0068209D" w:rsidP="005D49E2">
      <w:pPr>
        <w:pStyle w:val="Heading3"/>
        <w:numPr>
          <w:ilvl w:val="1"/>
          <w:numId w:val="9"/>
        </w:numPr>
        <w:overflowPunct/>
        <w:spacing w:before="240"/>
        <w:rPr>
          <w:b w:val="0"/>
          <w:bCs w:val="0"/>
        </w:rPr>
      </w:pPr>
    </w:p>
    <w:sectPr w:rsidR="0068209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C5D"/>
    <w:multiLevelType w:val="multilevel"/>
    <w:tmpl w:val="497A4C4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3EC4A53"/>
    <w:multiLevelType w:val="multilevel"/>
    <w:tmpl w:val="260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7A14F5"/>
    <w:multiLevelType w:val="multilevel"/>
    <w:tmpl w:val="4134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301164"/>
    <w:multiLevelType w:val="multilevel"/>
    <w:tmpl w:val="C55AC5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D047845"/>
    <w:multiLevelType w:val="multilevel"/>
    <w:tmpl w:val="8BC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2F7A5F"/>
    <w:multiLevelType w:val="multilevel"/>
    <w:tmpl w:val="B8CE2F6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C43D13"/>
    <w:multiLevelType w:val="multilevel"/>
    <w:tmpl w:val="760411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F826A3C"/>
    <w:multiLevelType w:val="multilevel"/>
    <w:tmpl w:val="BB345A6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476070D"/>
    <w:multiLevelType w:val="multilevel"/>
    <w:tmpl w:val="652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A9B46F2"/>
    <w:multiLevelType w:val="multilevel"/>
    <w:tmpl w:val="CF3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23E1A"/>
    <w:rsid w:val="00000610"/>
    <w:rsid w:val="000F7CDF"/>
    <w:rsid w:val="001C21B4"/>
    <w:rsid w:val="001C52F4"/>
    <w:rsid w:val="00307A69"/>
    <w:rsid w:val="003A6AB0"/>
    <w:rsid w:val="003E478E"/>
    <w:rsid w:val="00424079"/>
    <w:rsid w:val="004410AE"/>
    <w:rsid w:val="004F5117"/>
    <w:rsid w:val="0057304D"/>
    <w:rsid w:val="005D49E2"/>
    <w:rsid w:val="00647539"/>
    <w:rsid w:val="0068209D"/>
    <w:rsid w:val="006F3710"/>
    <w:rsid w:val="007C7E5C"/>
    <w:rsid w:val="0098698A"/>
    <w:rsid w:val="00B656FF"/>
    <w:rsid w:val="00B9012C"/>
    <w:rsid w:val="00BE63D0"/>
    <w:rsid w:val="00C507D2"/>
    <w:rsid w:val="00D9050B"/>
    <w:rsid w:val="00DA64D1"/>
    <w:rsid w:val="00E23E1A"/>
    <w:rsid w:val="00E6379C"/>
    <w:rsid w:val="00E763FD"/>
    <w:rsid w:val="00F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6F9B"/>
  <w15:docId w15:val="{CDB6959D-001D-4582-B927-27543748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5348"/>
    <w:rPr>
      <w:rFonts w:ascii="Segoe UI" w:hAnsi="Segoe UI" w:cs="Mangal"/>
      <w:color w:val="00000A"/>
      <w:sz w:val="18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5348"/>
    <w:rPr>
      <w:rFonts w:cs="Mangal"/>
      <w:b/>
      <w:bCs/>
      <w:color w:val="00000A"/>
      <w:szCs w:val="18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5348"/>
    <w:rPr>
      <w:rFonts w:ascii="Segoe UI" w:hAnsi="Segoe UI" w:cs="Mangal"/>
      <w:sz w:val="18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15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35347-6BC3-47F2-8521-ABFFD8A0A23F}"/>
</file>

<file path=customXml/itemProps2.xml><?xml version="1.0" encoding="utf-8"?>
<ds:datastoreItem xmlns:ds="http://schemas.openxmlformats.org/officeDocument/2006/customXml" ds:itemID="{E19907E2-ABFD-4F35-8CCC-D09D6526D754}"/>
</file>

<file path=customXml/itemProps3.xml><?xml version="1.0" encoding="utf-8"?>
<ds:datastoreItem xmlns:ds="http://schemas.openxmlformats.org/officeDocument/2006/customXml" ds:itemID="{25680684-7CDA-40E7-9BA5-9A111522EA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Erik van der Schriek</cp:lastModifiedBy>
  <cp:revision>36</cp:revision>
  <dcterms:created xsi:type="dcterms:W3CDTF">2017-06-01T08:52:00Z</dcterms:created>
  <dcterms:modified xsi:type="dcterms:W3CDTF">2017-11-11T12:23:00Z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0x0101009AEBE13AE0DDFE43923AE2E8408F33E2</vt:lpwstr>
  </property>
</Properties>
</file>