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C9A24B"/>
          <w:sz w:val="18"/>
          <w:szCs w:val="18"/>
        </w:rPr>
        <w:t xml:space="preserve">BANK CUSTOMER ANALYTICS</w:t>
      </w:r>
    </w:p>
    <w:p>
      <w:pPr>
        <w:spacing w:after="100"/>
      </w:pPr>
      <w:r>
        <w:rPr>
          <w:rFonts w:ascii="Calibri" w:cs="Calibri" w:eastAsia="Calibri" w:hAnsi="Calibri"/>
          <w:b/>
          <w:bCs/>
          <w:color w:val="0E2338"/>
          <w:sz w:val="46"/>
          <w:szCs w:val="46"/>
        </w:rPr>
        <w:t xml:space="preserve">Customer Churn Detection &amp; Deployment</w:t>
      </w:r>
    </w:p>
    <w:p>
      <w:pPr>
        <w:spacing w:after="260"/>
      </w:pPr>
      <w:r>
        <w:rPr>
          <w:rFonts w:ascii="Calibri" w:cs="Calibri" w:eastAsia="Calibri" w:hAnsi="Calibri"/>
          <w:i/>
          <w:iCs/>
          <w:color w:val="5A5F66"/>
          <w:sz w:val="22"/>
          <w:szCs w:val="22"/>
        </w:rPr>
        <w:t xml:space="preserve">Final Report — Data Preparation, Modelling, Explainability &amp; Streamlit Deployment</w:t>
      </w:r>
    </w:p>
    <w:tbl>
      <w:tblPr>
        <w:tblW w:type="dxa" w:w="100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2500"/>
        <w:gridCol w:w="2500"/>
        <w:gridCol w:w="2500"/>
        <w:gridCol w:w="2500"/>
      </w:tblGrid>
      <w:tr>
        <w:tc>
          <w:tcPr>
            <w:tcW w:type="dxa" w:w="2500"/>
            <w:tcBorders>
              <w:top w:val="none" w:color="FFFFFF" w:sz="0"/>
              <w:left w:val="none" w:color="FFFFFF" w:sz="0"/>
              <w:bottom w:val="none" w:color="FFFFFF" w:sz="0"/>
              <w:right w:val="none" w:color="FFFFFF" w:sz="0"/>
            </w:tcBorders>
            <w:shd w:fill="0E2338" w:color="auto" w:val="clear"/>
            <w:tcMar>
              <w:top w:type="dxa" w:w="160"/>
              <w:left w:type="dxa" w:w="120"/>
              <w:bottom w:type="dxa" w:w="160"/>
              <w:right w:type="dxa" w:w="120"/>
            </w:tcMar>
            <w:vAlign w:val="center"/>
          </w:tcPr>
          <w:p>
            <w:pPr>
              <w:spacing w:after="40"/>
              <w:jc w:val="center"/>
            </w:pPr>
            <w:r>
              <w:rPr>
                <w:rFonts w:ascii="Calibri" w:cs="Calibri" w:eastAsia="Calibri" w:hAnsi="Calibri"/>
                <w:b/>
                <w:bCs/>
                <w:color w:val="C9A24B"/>
                <w:sz w:val="34"/>
                <w:szCs w:val="34"/>
              </w:rPr>
              <w:t xml:space="preserve">0.6245</w:t>
            </w:r>
          </w:p>
          <w:p>
            <w:pPr>
              <w:jc w:val="center"/>
            </w:pPr>
            <w:r>
              <w:rPr>
                <w:rFonts w:ascii="Calibri" w:cs="Calibri" w:eastAsia="Calibri" w:hAnsi="Calibri"/>
                <w:color w:val="E7E7E7"/>
                <w:sz w:val="16"/>
                <w:szCs w:val="16"/>
              </w:rPr>
              <w:t xml:space="preserve">ROC-AUC (Logistic Regression)</w:t>
            </w:r>
          </w:p>
        </w:tc>
        <w:tc>
          <w:tcPr>
            <w:tcW w:type="dxa" w:w="2500"/>
            <w:tcBorders>
              <w:top w:val="none" w:color="FFFFFF" w:sz="0"/>
              <w:left w:val="none" w:color="FFFFFF" w:sz="0"/>
              <w:bottom w:val="none" w:color="FFFFFF" w:sz="0"/>
              <w:right w:val="none" w:color="FFFFFF" w:sz="0"/>
            </w:tcBorders>
            <w:shd w:fill="0E2338" w:color="auto" w:val="clear"/>
            <w:tcMar>
              <w:top w:type="dxa" w:w="160"/>
              <w:left w:type="dxa" w:w="120"/>
              <w:bottom w:type="dxa" w:w="160"/>
              <w:right w:type="dxa" w:w="120"/>
            </w:tcMar>
            <w:vAlign w:val="center"/>
          </w:tcPr>
          <w:p>
            <w:pPr>
              <w:spacing w:after="40"/>
              <w:jc w:val="center"/>
            </w:pPr>
            <w:r>
              <w:rPr>
                <w:rFonts w:ascii="Calibri" w:cs="Calibri" w:eastAsia="Calibri" w:hAnsi="Calibri"/>
                <w:b/>
                <w:bCs/>
                <w:color w:val="C9A24B"/>
                <w:sz w:val="34"/>
                <w:szCs w:val="34"/>
              </w:rPr>
              <w:t xml:space="preserve">72.4%</w:t>
            </w:r>
          </w:p>
          <w:p>
            <w:pPr>
              <w:jc w:val="center"/>
            </w:pPr>
            <w:r>
              <w:rPr>
                <w:rFonts w:ascii="Calibri" w:cs="Calibri" w:eastAsia="Calibri" w:hAnsi="Calibri"/>
                <w:color w:val="E7E7E7"/>
                <w:sz w:val="16"/>
                <w:szCs w:val="16"/>
              </w:rPr>
              <w:t xml:space="preserve">Overall Test Accuracy</w:t>
            </w:r>
          </w:p>
        </w:tc>
        <w:tc>
          <w:tcPr>
            <w:tcW w:type="dxa" w:w="2500"/>
            <w:tcBorders>
              <w:top w:val="none" w:color="FFFFFF" w:sz="0"/>
              <w:left w:val="none" w:color="FFFFFF" w:sz="0"/>
              <w:bottom w:val="none" w:color="FFFFFF" w:sz="0"/>
              <w:right w:val="none" w:color="FFFFFF" w:sz="0"/>
            </w:tcBorders>
            <w:shd w:fill="0E2338" w:color="auto" w:val="clear"/>
            <w:tcMar>
              <w:top w:type="dxa" w:w="160"/>
              <w:left w:type="dxa" w:w="120"/>
              <w:bottom w:type="dxa" w:w="160"/>
              <w:right w:type="dxa" w:w="120"/>
            </w:tcMar>
            <w:vAlign w:val="center"/>
          </w:tcPr>
          <w:p>
            <w:pPr>
              <w:spacing w:after="40"/>
              <w:jc w:val="center"/>
            </w:pPr>
            <w:r>
              <w:rPr>
                <w:rFonts w:ascii="Calibri" w:cs="Calibri" w:eastAsia="Calibri" w:hAnsi="Calibri"/>
                <w:b/>
                <w:bCs/>
                <w:color w:val="C9A24B"/>
                <w:sz w:val="34"/>
                <w:szCs w:val="34"/>
              </w:rPr>
              <w:t xml:space="preserve">27.3%</w:t>
            </w:r>
          </w:p>
          <w:p>
            <w:pPr>
              <w:jc w:val="center"/>
            </w:pPr>
            <w:r>
              <w:rPr>
                <w:rFonts w:ascii="Calibri" w:cs="Calibri" w:eastAsia="Calibri" w:hAnsi="Calibri"/>
                <w:color w:val="E7E7E7"/>
                <w:sz w:val="16"/>
                <w:szCs w:val="16"/>
              </w:rPr>
              <w:t xml:space="preserve">Observed Churn Rate</w:t>
            </w:r>
          </w:p>
        </w:tc>
        <w:tc>
          <w:tcPr>
            <w:tcW w:type="dxa" w:w="2500"/>
            <w:tcBorders>
              <w:top w:val="none" w:color="FFFFFF" w:sz="0"/>
              <w:left w:val="none" w:color="FFFFFF" w:sz="0"/>
              <w:bottom w:val="none" w:color="FFFFFF" w:sz="0"/>
              <w:right w:val="none" w:color="FFFFFF" w:sz="0"/>
            </w:tcBorders>
            <w:shd w:fill="0E2338" w:color="auto" w:val="clear"/>
            <w:tcMar>
              <w:top w:type="dxa" w:w="160"/>
              <w:left w:type="dxa" w:w="120"/>
              <w:bottom w:type="dxa" w:w="160"/>
              <w:right w:type="dxa" w:w="120"/>
            </w:tcMar>
            <w:vAlign w:val="center"/>
          </w:tcPr>
          <w:p>
            <w:pPr>
              <w:spacing w:after="40"/>
              <w:jc w:val="center"/>
            </w:pPr>
            <w:r>
              <w:rPr>
                <w:rFonts w:ascii="Calibri" w:cs="Calibri" w:eastAsia="Calibri" w:hAnsi="Calibri"/>
                <w:b/>
                <w:bCs/>
                <w:color w:val="E08A7D"/>
                <w:sz w:val="34"/>
                <w:szCs w:val="34"/>
              </w:rPr>
              <w:t xml:space="preserve">1.1%</w:t>
            </w:r>
          </w:p>
          <w:p>
            <w:pPr>
              <w:jc w:val="center"/>
            </w:pPr>
            <w:r>
              <w:rPr>
                <w:rFonts w:ascii="Calibri" w:cs="Calibri" w:eastAsia="Calibri" w:hAnsi="Calibri"/>
                <w:color w:val="E7E7E7"/>
                <w:sz w:val="16"/>
                <w:szCs w:val="16"/>
              </w:rPr>
              <w:t xml:space="preserve">Recall on Actual Churners</w:t>
            </w:r>
          </w:p>
        </w:tc>
      </w:tr>
    </w:tbl>
    <w:p>
      <w:pPr>
        <w:spacing w:after="280"/>
      </w:pPr>
    </w:p>
    <w:p>
      <w:pPr>
        <w:pBdr>
          <w:bottom w:val="single" w:color="C9A24B" w:sz="10" w:space="6"/>
        </w:pBdr>
        <w:spacing w:after="160" w:before="380"/>
      </w:pPr>
      <w:r>
        <w:rPr>
          <w:rFonts w:ascii="Calibri" w:cs="Calibri" w:eastAsia="Calibri" w:hAnsi="Calibri"/>
          <w:b/>
          <w:bCs/>
          <w:color w:val="C9A24B"/>
          <w:sz w:val="27"/>
          <w:szCs w:val="27"/>
        </w:rPr>
        <w:t xml:space="preserve">01  </w:t>
      </w:r>
      <w:r>
        <w:rPr>
          <w:rFonts w:ascii="Calibri" w:cs="Calibri" w:eastAsia="Calibri" w:hAnsi="Calibri"/>
          <w:b/>
          <w:bCs/>
          <w:color w:val="0E2338"/>
          <w:sz w:val="27"/>
          <w:szCs w:val="27"/>
        </w:rPr>
        <w:t xml:space="preserve">Executive Summary</w:t>
      </w:r>
    </w:p>
    <w:p>
      <w:pPr>
        <w:spacing w:after="160" w:line="276"/>
      </w:pPr>
      <w:r>
        <w:rPr>
          <w:rFonts w:ascii="Calibri" w:cs="Calibri" w:eastAsia="Calibri" w:hAnsi="Calibri"/>
          <w:color w:val="2B2B2B"/>
          <w:sz w:val="21"/>
          <w:szCs w:val="21"/>
        </w:rPr>
        <w:t xml:space="preserve">This project analysed 10,000 bank-customer records to understand and predict customer churn. The data was cleaned, explored, transformed into business-focused features, modelled with five machine-learning algorithms, explained with SHAP and DALEX, and packaged in a Streamlit prediction application.</w:t>
      </w:r>
    </w:p>
    <w:p>
      <w:pPr>
        <w:spacing w:after="160" w:line="276"/>
      </w:pPr>
      <w:r>
        <w:rPr>
          <w:rFonts w:ascii="Calibri" w:cs="Calibri" w:eastAsia="Calibri" w:hAnsi="Calibri"/>
          <w:b/>
          <w:bCs/>
          <w:sz w:val="21"/>
          <w:szCs w:val="21"/>
        </w:rPr>
        <w:t xml:space="preserve">Logistic Regression</w:t>
      </w:r>
      <w:r>
        <w:rPr>
          <w:rFonts w:ascii="Calibri" w:cs="Calibri" w:eastAsia="Calibri" w:hAnsi="Calibri"/>
          <w:color w:val="2B2B2B"/>
          <w:sz w:val="21"/>
          <w:szCs w:val="21"/>
        </w:rPr>
        <w:t xml:space="preserve"> was selected as the final model because it achieved the strongest ability to rank churners ahead of non-churners (ROC-AUC 0.6245) among the models tested. In plain English, when the model compares one customer who churned with one who did not, it places the churner higher about 62 times out of 100 — better than chance, but only moderately effective. Its test accuracy was 72.4%, meaning it gave the correct stay/churn label for roughly 72 of every 100 customers. However, it detected only 1.1% of real churners.</w:t>
      </w:r>
    </w:p>
    <w:tbl>
      <w:tblPr>
        <w:tblW w:type="dxa" w:w="10000"/>
        <w:tblBorders>
          <w:top w:val="none" w:color="FFFFFF" w:sz="0"/>
          <w:left w:val="single" w:color="C9A24B" w:sz="24"/>
          <w:bottom w:val="none" w:color="FFFFFF" w:sz="0"/>
          <w:right w:val="none" w:color="FFFFFF" w:sz="0"/>
          <w:insideH w:val="single" w:color="auto" w:sz="4"/>
          <w:insideV w:val="single" w:color="auto" w:sz="4"/>
        </w:tblBorders>
        <w:tblLayout w:type="fixed"/>
      </w:tblPr>
      <w:tblGrid>
        <w:gridCol w:w="10000"/>
      </w:tblGrid>
      <w:tr>
        <w:tc>
          <w:tcPr>
            <w:tcW w:type="dxa" w:w="10000"/>
            <w:tcBorders>
              <w:top w:val="none" w:color="FFFFFF" w:sz="0"/>
              <w:left w:val="single" w:color="C9A24B" w:sz="24"/>
              <w:bottom w:val="none" w:color="FFFFFF" w:sz="0"/>
              <w:right w:val="none" w:color="FFFFFF" w:sz="0"/>
            </w:tcBorders>
            <w:shd w:fill="FBF3E1" w:color="auto" w:val="clear"/>
            <w:tcMar>
              <w:top w:type="dxa" w:w="180"/>
              <w:left w:type="dxa" w:w="260"/>
              <w:bottom w:type="dxa" w:w="180"/>
              <w:right w:type="dxa" w:w="260"/>
            </w:tcMar>
          </w:tcPr>
          <w:p>
            <w:pPr>
              <w:spacing w:after="60"/>
            </w:pPr>
            <w:r>
              <w:rPr>
                <w:rFonts w:ascii="Calibri" w:cs="Calibri" w:eastAsia="Calibri" w:hAnsi="Calibri"/>
                <w:b/>
                <w:bCs/>
                <w:color w:val="0E2338"/>
                <w:sz w:val="20"/>
                <w:szCs w:val="20"/>
              </w:rPr>
              <w:t xml:space="preserve">Key takeaway</w:t>
            </w:r>
          </w:p>
          <w:p>
            <w:pPr>
              <w:spacing w:after="0" w:line="264"/>
            </w:pPr>
            <w:r>
              <w:rPr>
                <w:rFonts w:ascii="Calibri" w:cs="Calibri" w:eastAsia="Calibri" w:hAnsi="Calibri"/>
                <w:color w:val="3A3A3A"/>
                <w:sz w:val="20"/>
                <w:szCs w:val="20"/>
              </w:rPr>
              <w:t xml:space="preserve">The model is suitable as a decision-support and exploratory tool, but it is not ready to be the sole trigger for retention action. The strongest signals were account tenure, customer value score, email subscription, support calls, and number of complaints.</w:t>
            </w:r>
          </w:p>
        </w:tc>
      </w:tr>
    </w:tbl>
    <w:p>
      <w:pPr>
        <w:spacing w:after="160" w:before="120"/>
        <w:jc w:val="center"/>
      </w:pPr>
      <w:r>
        <w:drawing>
          <wp:inline distT="0" distB="0" distL="0" distR="0">
            <wp:extent cx="4000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514725"/>
                    </a:xfrm>
                    <a:prstGeom prst="rect">
                      <a:avLst/>
                    </a:prstGeom>
                  </pic:spPr>
                </pic:pic>
              </a:graphicData>
            </a:graphic>
          </wp:inline>
        </w:drawing>
      </w:r>
    </w:p>
    <w:p>
      <w:pPr>
        <w:spacing w:after="160"/>
      </w:pPr>
    </w:p>
    <w:p>
      <w:pPr>
        <w:pBdr>
          <w:bottom w:val="single" w:color="C9A24B" w:sz="10" w:space="6"/>
        </w:pBdr>
        <w:spacing w:after="160" w:before="380"/>
      </w:pPr>
      <w:r>
        <w:rPr>
          <w:rFonts w:ascii="Calibri" w:cs="Calibri" w:eastAsia="Calibri" w:hAnsi="Calibri"/>
          <w:b/>
          <w:bCs/>
          <w:color w:val="C9A24B"/>
          <w:sz w:val="27"/>
          <w:szCs w:val="27"/>
        </w:rPr>
        <w:t xml:space="preserve">02  </w:t>
      </w:r>
      <w:r>
        <w:rPr>
          <w:rFonts w:ascii="Calibri" w:cs="Calibri" w:eastAsia="Calibri" w:hAnsi="Calibri"/>
          <w:b/>
          <w:bCs/>
          <w:color w:val="0E2338"/>
          <w:sz w:val="27"/>
          <w:szCs w:val="27"/>
        </w:rPr>
        <w:t xml:space="preserve">Introduction</w:t>
      </w:r>
    </w:p>
    <w:p>
      <w:pPr>
        <w:spacing w:after="160" w:line="276"/>
      </w:pPr>
      <w:r>
        <w:rPr>
          <w:rFonts w:ascii="Calibri" w:cs="Calibri" w:eastAsia="Calibri" w:hAnsi="Calibri"/>
          <w:color w:val="2B2B2B"/>
          <w:sz w:val="21"/>
          <w:szCs w:val="21"/>
        </w:rPr>
        <w:t xml:space="preserve">Customer churn reduces future revenue and increases the cost of replacing customers. The aim of this work was to turn customer account, transaction, service, and engagement data into practical evidence that can support earlier retention action.</w:t>
      </w:r>
    </w:p>
    <w:p>
      <w:pPr>
        <w:spacing w:after="160" w:line="276"/>
      </w:pPr>
      <w:r>
        <w:rPr>
          <w:rFonts w:ascii="Calibri" w:cs="Calibri" w:eastAsia="Calibri" w:hAnsi="Calibri"/>
          <w:color w:val="2B2B2B"/>
          <w:sz w:val="21"/>
          <w:szCs w:val="21"/>
        </w:rPr>
        <w:t xml:space="preserve">The source dataset contains 10,000 customer records and 20 variables, including demographics, account tenure, balance, product ownership, transaction activity, complaints, support calls, satisfaction, and churn status. Churn is a binary outcome: a value of 1 indicates that a customer left, and 0 indicates that the customer remained.</w:t>
      </w:r>
    </w:p>
    <w:p>
      <w:pPr>
        <w:spacing w:after="100" w:before="220"/>
      </w:pPr>
      <w:r>
        <w:rPr>
          <w:rFonts w:ascii="Calibri" w:cs="Calibri" w:eastAsia="Calibri" w:hAnsi="Calibri"/>
          <w:b/>
          <w:bCs/>
          <w:color w:val="2E7D7D"/>
          <w:sz w:val="22"/>
          <w:szCs w:val="22"/>
        </w:rPr>
        <w:t xml:space="preserve">Objectives</w:t>
      </w:r>
    </w:p>
    <w:p>
      <w:pPr>
        <w:pStyle w:val="ListParagraph"/>
        <w:numPr>
          <w:ilvl w:val="0"/>
          <w:numId w:val="2"/>
        </w:numPr>
        <w:spacing w:after="90" w:line="268"/>
      </w:pPr>
      <w:r>
        <w:rPr>
          <w:rFonts w:ascii="Calibri" w:cs="Calibri" w:eastAsia="Calibri" w:hAnsi="Calibri"/>
          <w:color w:val="2B2B2B"/>
          <w:sz w:val="21"/>
          <w:szCs w:val="21"/>
        </w:rPr>
        <w:t xml:space="preserve">Clean and validate the customer-churn dataset.</w:t>
      </w:r>
    </w:p>
    <w:p>
      <w:pPr>
        <w:pStyle w:val="ListParagraph"/>
        <w:numPr>
          <w:ilvl w:val="0"/>
          <w:numId w:val="2"/>
        </w:numPr>
        <w:spacing w:after="90" w:line="268"/>
      </w:pPr>
      <w:r>
        <w:rPr>
          <w:rFonts w:ascii="Calibri" w:cs="Calibri" w:eastAsia="Calibri" w:hAnsi="Calibri"/>
          <w:color w:val="2B2B2B"/>
          <w:sz w:val="21"/>
          <w:szCs w:val="21"/>
        </w:rPr>
        <w:t xml:space="preserve">Explore the customer base and identify patterns associated with churn.</w:t>
      </w:r>
    </w:p>
    <w:p>
      <w:pPr>
        <w:pStyle w:val="ListParagraph"/>
        <w:numPr>
          <w:ilvl w:val="0"/>
          <w:numId w:val="2"/>
        </w:numPr>
        <w:spacing w:after="90" w:line="268"/>
      </w:pPr>
      <w:r>
        <w:rPr>
          <w:rFonts w:ascii="Calibri" w:cs="Calibri" w:eastAsia="Calibri" w:hAnsi="Calibri"/>
          <w:color w:val="2B2B2B"/>
          <w:sz w:val="21"/>
          <w:szCs w:val="21"/>
        </w:rPr>
        <w:t xml:space="preserve">Create useful features for modelling customer value, engagement, and risk.</w:t>
      </w:r>
    </w:p>
    <w:p>
      <w:pPr>
        <w:pStyle w:val="ListParagraph"/>
        <w:numPr>
          <w:ilvl w:val="0"/>
          <w:numId w:val="2"/>
        </w:numPr>
        <w:spacing w:after="90" w:line="268"/>
      </w:pPr>
      <w:r>
        <w:rPr>
          <w:rFonts w:ascii="Calibri" w:cs="Calibri" w:eastAsia="Calibri" w:hAnsi="Calibri"/>
          <w:color w:val="2B2B2B"/>
          <w:sz w:val="21"/>
          <w:szCs w:val="21"/>
        </w:rPr>
        <w:t xml:space="preserve">Train and compare several machine-learning models for churn prediction.</w:t>
      </w:r>
    </w:p>
    <w:p>
      <w:pPr>
        <w:pStyle w:val="ListParagraph"/>
        <w:numPr>
          <w:ilvl w:val="0"/>
          <w:numId w:val="2"/>
        </w:numPr>
        <w:spacing w:after="90" w:line="268"/>
      </w:pPr>
      <w:r>
        <w:rPr>
          <w:rFonts w:ascii="Calibri" w:cs="Calibri" w:eastAsia="Calibri" w:hAnsi="Calibri"/>
          <w:color w:val="2B2B2B"/>
          <w:sz w:val="21"/>
          <w:szCs w:val="21"/>
        </w:rPr>
        <w:t xml:space="preserve">Explain the final model's overall behaviour and individual predictions.</w:t>
      </w:r>
    </w:p>
    <w:p>
      <w:pPr>
        <w:pStyle w:val="ListParagraph"/>
        <w:numPr>
          <w:ilvl w:val="0"/>
          <w:numId w:val="2"/>
        </w:numPr>
        <w:spacing w:after="90" w:line="268"/>
      </w:pPr>
      <w:r>
        <w:rPr>
          <w:rFonts w:ascii="Calibri" w:cs="Calibri" w:eastAsia="Calibri" w:hAnsi="Calibri"/>
          <w:color w:val="2B2B2B"/>
          <w:sz w:val="21"/>
          <w:szCs w:val="21"/>
        </w:rPr>
        <w:t xml:space="preserve">Deliver an interface that allows users to make and interpret live churn predictions.</w:t>
      </w:r>
    </w:p>
    <w:p>
      <w:pPr>
        <w:spacing w:after="160"/>
      </w:pPr>
    </w:p>
    <w:p>
      <w:pPr>
        <w:pBdr>
          <w:bottom w:val="single" w:color="C9A24B" w:sz="10" w:space="6"/>
        </w:pBdr>
        <w:spacing w:after="160" w:before="380"/>
      </w:pPr>
      <w:r>
        <w:rPr>
          <w:rFonts w:ascii="Calibri" w:cs="Calibri" w:eastAsia="Calibri" w:hAnsi="Calibri"/>
          <w:b/>
          <w:bCs/>
          <w:color w:val="C9A24B"/>
          <w:sz w:val="27"/>
          <w:szCs w:val="27"/>
        </w:rPr>
        <w:t xml:space="preserve">03  </w:t>
      </w:r>
      <w:r>
        <w:rPr>
          <w:rFonts w:ascii="Calibri" w:cs="Calibri" w:eastAsia="Calibri" w:hAnsi="Calibri"/>
          <w:b/>
          <w:bCs/>
          <w:color w:val="0E2338"/>
          <w:sz w:val="27"/>
          <w:szCs w:val="27"/>
        </w:rPr>
        <w:t xml:space="preserve">Methodology</w:t>
      </w:r>
    </w:p>
    <w:p>
      <w:pPr>
        <w:spacing w:after="100" w:before="220"/>
      </w:pPr>
      <w:r>
        <w:rPr>
          <w:rFonts w:ascii="Calibri" w:cs="Calibri" w:eastAsia="Calibri" w:hAnsi="Calibri"/>
          <w:b/>
          <w:bCs/>
          <w:color w:val="2E7D7D"/>
          <w:sz w:val="22"/>
          <w:szCs w:val="22"/>
        </w:rPr>
        <w:t xml:space="preserve">Data Preparation</w:t>
      </w:r>
    </w:p>
    <w:p>
      <w:pPr>
        <w:spacing w:after="160" w:line="276"/>
      </w:pPr>
      <w:r>
        <w:rPr>
          <w:rFonts w:ascii="Calibri" w:cs="Calibri" w:eastAsia="Calibri" w:hAnsi="Calibri"/>
          <w:color w:val="2B2B2B"/>
          <w:sz w:val="21"/>
          <w:szCs w:val="21"/>
        </w:rPr>
        <w:t xml:space="preserve">The dataset was checked for duplicates, missing values, invalid ranges, and inconsistent binary fields. No duplicate records were found. Education level had 1,026 missing values (10.26%); these were filled with the most common category, Secondary, so records were retained instead of discarded. All 10,000 records remained available for analysis.</w:t>
      </w:r>
    </w:p>
    <w:p>
      <w:pPr>
        <w:spacing w:after="160" w:line="276"/>
      </w:pPr>
      <w:r>
        <w:rPr>
          <w:rFonts w:ascii="Calibri" w:cs="Calibri" w:eastAsia="Calibri" w:hAnsi="Calibri"/>
          <w:color w:val="2B2B2B"/>
          <w:sz w:val="21"/>
          <w:szCs w:val="21"/>
        </w:rPr>
        <w:t xml:space="preserve">Customer age ranged from 18 to 70 years, tenure from 1 to 180 months, average balance from $500 to $1,644,080, and complaint-resolution rate from 0.50 to 1.00. These ranges were judged plausible, so no observations were removed as invalid.</w:t>
      </w:r>
    </w:p>
    <w:p>
      <w:pPr>
        <w:spacing w:after="160" w:line="276"/>
      </w:pPr>
      <w:r>
        <w:rPr>
          <w:rFonts w:ascii="Calibri" w:cs="Calibri" w:eastAsia="Calibri" w:hAnsi="Calibri"/>
          <w:color w:val="2B2B2B"/>
          <w:sz w:val="21"/>
          <w:szCs w:val="21"/>
        </w:rPr>
        <w:t xml:space="preserve">Feature engineering added a customer value score (a 0–1 combined measure of balance, transaction frequency, and tenure), engagement level, and risk profile. Categorical variables were label encoded for modelling. The data were split into training and test sets using an 80:20 stratified split, which kept the churn proportion similar in both sets. Numerical inputs were standardised so variables with large units, such as balance, did not dominate smaller-scale variables.</w:t>
      </w:r>
    </w:p>
    <w:p>
      <w:pPr>
        <w:spacing w:after="100" w:before="220"/>
      </w:pPr>
      <w:r>
        <w:rPr>
          <w:rFonts w:ascii="Calibri" w:cs="Calibri" w:eastAsia="Calibri" w:hAnsi="Calibri"/>
          <w:b/>
          <w:bCs/>
          <w:color w:val="2E7D7D"/>
          <w:sz w:val="22"/>
          <w:szCs w:val="22"/>
        </w:rPr>
        <w:t xml:space="preserve">Modelling and Evaluation</w:t>
      </w:r>
    </w:p>
    <w:p>
      <w:pPr>
        <w:spacing w:after="160" w:line="276"/>
      </w:pPr>
      <w:r>
        <w:rPr>
          <w:rFonts w:ascii="Calibri" w:cs="Calibri" w:eastAsia="Calibri" w:hAnsi="Calibri"/>
          <w:color w:val="2B2B2B"/>
          <w:sz w:val="21"/>
          <w:szCs w:val="21"/>
        </w:rPr>
        <w:t xml:space="preserve">Five classifiers were trained and compared: Logistic Regression, Gradient Boosting, Random Forest, Decision Tree, and Support Vector Machine. Evaluation used accuracy, precision, recall, F1-score, and ROC-AUC.</w:t>
      </w:r>
    </w:p>
    <w:p>
      <w:pPr>
        <w:pStyle w:val="ListParagraph"/>
        <w:numPr>
          <w:ilvl w:val="0"/>
          <w:numId w:val="2"/>
        </w:numPr>
        <w:spacing w:after="90" w:line="268"/>
      </w:pPr>
      <w:r>
        <w:rPr>
          <w:rFonts w:ascii="Calibri" w:cs="Calibri" w:eastAsia="Calibri" w:hAnsi="Calibri"/>
          <w:color w:val="2B2B2B"/>
          <w:sz w:val="21"/>
          <w:szCs w:val="21"/>
        </w:rPr>
        <w:t xml:space="preserve">Accuracy — the share of all predictions that were correct.</w:t>
      </w:r>
    </w:p>
    <w:p>
      <w:pPr>
        <w:pStyle w:val="ListParagraph"/>
        <w:numPr>
          <w:ilvl w:val="0"/>
          <w:numId w:val="2"/>
        </w:numPr>
        <w:spacing w:after="90" w:line="268"/>
      </w:pPr>
      <w:r>
        <w:rPr>
          <w:rFonts w:ascii="Calibri" w:cs="Calibri" w:eastAsia="Calibri" w:hAnsi="Calibri"/>
          <w:color w:val="2B2B2B"/>
          <w:sz w:val="21"/>
          <w:szCs w:val="21"/>
        </w:rPr>
        <w:t xml:space="preserve">Precision — the share of customers predicted to churn who actually churned.</w:t>
      </w:r>
    </w:p>
    <w:p>
      <w:pPr>
        <w:pStyle w:val="ListParagraph"/>
        <w:numPr>
          <w:ilvl w:val="0"/>
          <w:numId w:val="2"/>
        </w:numPr>
        <w:spacing w:after="90" w:line="268"/>
      </w:pPr>
      <w:r>
        <w:rPr>
          <w:rFonts w:ascii="Calibri" w:cs="Calibri" w:eastAsia="Calibri" w:hAnsi="Calibri"/>
          <w:color w:val="2B2B2B"/>
          <w:sz w:val="21"/>
          <w:szCs w:val="21"/>
        </w:rPr>
        <w:t xml:space="preserve">Recall — the share of actual churners that the model successfully found.</w:t>
      </w:r>
    </w:p>
    <w:p>
      <w:pPr>
        <w:pStyle w:val="ListParagraph"/>
        <w:numPr>
          <w:ilvl w:val="0"/>
          <w:numId w:val="2"/>
        </w:numPr>
        <w:spacing w:after="90" w:line="268"/>
      </w:pPr>
      <w:r>
        <w:rPr>
          <w:rFonts w:ascii="Calibri" w:cs="Calibri" w:eastAsia="Calibri" w:hAnsi="Calibri"/>
          <w:color w:val="2B2B2B"/>
          <w:sz w:val="21"/>
          <w:szCs w:val="21"/>
        </w:rPr>
        <w:t xml:space="preserve">F1-score — balances precision and recall; it falls when either is poor.</w:t>
      </w:r>
    </w:p>
    <w:p>
      <w:pPr>
        <w:pStyle w:val="ListParagraph"/>
        <w:numPr>
          <w:ilvl w:val="0"/>
          <w:numId w:val="2"/>
        </w:numPr>
        <w:spacing w:after="90" w:line="268"/>
      </w:pPr>
      <w:r>
        <w:rPr>
          <w:rFonts w:ascii="Calibri" w:cs="Calibri" w:eastAsia="Calibri" w:hAnsi="Calibri"/>
          <w:color w:val="2B2B2B"/>
          <w:sz w:val="21"/>
          <w:szCs w:val="21"/>
        </w:rPr>
        <w:t xml:space="preserve">ROC-AUC — measures how well the model ranks churn risk across all thresholds (0.50 = random, 1.00 = perfect).</w:t>
      </w:r>
    </w:p>
    <w:p>
      <w:pPr>
        <w:spacing w:after="80"/>
      </w:pPr>
    </w:p>
    <w:p>
      <w:pPr>
        <w:spacing w:after="160" w:line="276"/>
      </w:pPr>
      <w:r>
        <w:rPr>
          <w:rFonts w:ascii="Calibri" w:cs="Calibri" w:eastAsia="Calibri" w:hAnsi="Calibri"/>
          <w:color w:val="2B2B2B"/>
          <w:sz w:val="21"/>
          <w:szCs w:val="21"/>
        </w:rPr>
        <w:t xml:space="preserve">Logistic Regression was selected because it achieved the highest ROC-AUC and is straightforward to explain. SHAP global importance plots, SHAP summary plots, partial-dependence plots, and a DALEX break-down plot were used to make model behaviour understandable.</w:t>
      </w:r>
    </w:p>
    <w:p>
      <w:pPr>
        <w:spacing w:after="100" w:before="220"/>
      </w:pPr>
      <w:r>
        <w:rPr>
          <w:rFonts w:ascii="Calibri" w:cs="Calibri" w:eastAsia="Calibri" w:hAnsi="Calibri"/>
          <w:b/>
          <w:bCs/>
          <w:color w:val="2E7D7D"/>
          <w:sz w:val="22"/>
          <w:szCs w:val="22"/>
        </w:rPr>
        <w:t xml:space="preserve">Deployment</w:t>
      </w:r>
    </w:p>
    <w:p>
      <w:pPr>
        <w:spacing w:after="160" w:line="276"/>
      </w:pPr>
      <w:r>
        <w:rPr>
          <w:rFonts w:ascii="Calibri" w:cs="Calibri" w:eastAsia="Calibri" w:hAnsi="Calibri"/>
          <w:color w:val="2B2B2B"/>
          <w:sz w:val="21"/>
          <w:szCs w:val="21"/>
        </w:rPr>
        <w:t xml:space="preserve">The final preprocessing steps, encoders, scaler, and Logistic Regression model were packaged into a reusable model bundle. A Streamlit application accepts the 18 model predictors and returns the predicted class, churn probability, confidence, four-level risk category, and the ten largest individual SHAP contributions. The source files and publishing instructions are available in Task_6.</w:t>
      </w:r>
    </w:p>
    <w:p>
      <w:pPr>
        <w:spacing w:after="120"/>
      </w:pPr>
    </w:p>
    <w:p>
      <w:pPr>
        <w:pBdr>
          <w:bottom w:val="single" w:color="C9A24B" w:sz="10" w:space="6"/>
        </w:pBdr>
        <w:spacing w:after="160" w:before="380"/>
      </w:pPr>
      <w:r>
        <w:rPr>
          <w:rFonts w:ascii="Calibri" w:cs="Calibri" w:eastAsia="Calibri" w:hAnsi="Calibri"/>
          <w:b/>
          <w:bCs/>
          <w:color w:val="C9A24B"/>
          <w:sz w:val="27"/>
          <w:szCs w:val="27"/>
        </w:rPr>
        <w:t xml:space="preserve">04  </w:t>
      </w:r>
      <w:r>
        <w:rPr>
          <w:rFonts w:ascii="Calibri" w:cs="Calibri" w:eastAsia="Calibri" w:hAnsi="Calibri"/>
          <w:b/>
          <w:bCs/>
          <w:color w:val="0E2338"/>
          <w:sz w:val="27"/>
          <w:szCs w:val="27"/>
        </w:rPr>
        <w:t xml:space="preserve">Results</w:t>
      </w:r>
    </w:p>
    <w:p>
      <w:pPr>
        <w:spacing w:after="100" w:before="220"/>
      </w:pPr>
      <w:r>
        <w:rPr>
          <w:rFonts w:ascii="Calibri" w:cs="Calibri" w:eastAsia="Calibri" w:hAnsi="Calibri"/>
          <w:b/>
          <w:bCs/>
          <w:color w:val="2E7D7D"/>
          <w:sz w:val="22"/>
          <w:szCs w:val="22"/>
        </w:rPr>
        <w:t xml:space="preserve">Data &amp; Exploratory Findings</w:t>
      </w:r>
    </w:p>
    <w:p>
      <w:pPr>
        <w:spacing w:after="160" w:line="276"/>
      </w:pPr>
      <w:r>
        <w:rPr>
          <w:rFonts w:ascii="Calibri" w:cs="Calibri" w:eastAsia="Calibri" w:hAnsi="Calibri"/>
          <w:color w:val="2B2B2B"/>
          <w:sz w:val="21"/>
          <w:szCs w:val="21"/>
        </w:rPr>
        <w:t xml:space="preserve">The observed churn rate was 27.32%. Put simply, about 27 out of every 100 customers had churned, while about 73 remained active. This imbalance means a model can appear accurate by predicting that many customers will stay, which is why recall and ROC-AUC were assessed alongside accuracy.</w:t>
      </w:r>
    </w:p>
    <w:p>
      <w:pPr>
        <w:spacing w:after="160" w:line="276"/>
      </w:pPr>
      <w:r>
        <w:rPr>
          <w:rFonts w:ascii="Calibri" w:cs="Calibri" w:eastAsia="Calibri" w:hAnsi="Calibri"/>
          <w:color w:val="2B2B2B"/>
          <w:sz w:val="21"/>
          <w:szCs w:val="21"/>
        </w:rPr>
        <w:t xml:space="preserve">The average account balance was $150,108, while the median was $103,651. Because the average is higher than the middle value, a relatively small number of very high-balance customers pull the average upward. Average tenure was 90.8 months, or about 7.6 years.</w:t>
      </w:r>
    </w:p>
    <w:p>
      <w:pPr>
        <w:spacing w:after="160" w:line="276"/>
      </w:pPr>
      <w:r>
        <w:rPr>
          <w:rFonts w:ascii="Calibri" w:cs="Calibri" w:eastAsia="Calibri" w:hAnsi="Calibri"/>
          <w:color w:val="2B2B2B"/>
          <w:sz w:val="21"/>
          <w:szCs w:val="21"/>
        </w:rPr>
        <w:t xml:space="preserve">Churned customers had lower average balance ($136,000 versus $156,000), shorter tenure (77 versus 96 months), fewer products (1.8 versus 2.1), and lower transaction frequency (14.6 versus 15.2). Their average support calls were higher (1.5 versus 0.7) and their satisfaction rate was lower (0.71 versus 0.75). In plain English, customers who leave tend to be less established, less engaged, less satisfied, and more likely to need help.</w:t>
      </w:r>
    </w:p>
    <w:p>
      <w:pPr>
        <w:spacing w:after="160" w:before="120"/>
        <w:jc w:val="center"/>
      </w:pPr>
      <w:r>
        <w:drawing>
          <wp:inline distT="0" distB="0" distL="0" distR="0">
            <wp:extent cx="6286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2181225"/>
                    </a:xfrm>
                    <a:prstGeom prst="rect">
                      <a:avLst/>
                    </a:prstGeom>
                  </pic:spPr>
                </pic:pic>
              </a:graphicData>
            </a:graphic>
          </wp:inline>
        </w:drawing>
      </w:r>
    </w:p>
    <w:tbl>
      <w:tblPr>
        <w:tblW w:type="dxa" w:w="10000"/>
        <w:tblBorders>
          <w:top w:val="none" w:color="FFFFFF" w:sz="0"/>
          <w:left w:val="single" w:color="2E7D7D" w:sz="24"/>
          <w:bottom w:val="none" w:color="FFFFFF" w:sz="0"/>
          <w:right w:val="none" w:color="FFFFFF" w:sz="0"/>
          <w:insideH w:val="single" w:color="auto" w:sz="4"/>
          <w:insideV w:val="single" w:color="auto" w:sz="4"/>
        </w:tblBorders>
        <w:tblLayout w:type="fixed"/>
      </w:tblPr>
      <w:tblGrid>
        <w:gridCol w:w="10000"/>
      </w:tblGrid>
      <w:tr>
        <w:tc>
          <w:tcPr>
            <w:tcW w:type="dxa" w:w="10000"/>
            <w:tcBorders>
              <w:top w:val="none" w:color="FFFFFF" w:sz="0"/>
              <w:left w:val="single" w:color="2E7D7D" w:sz="24"/>
              <w:bottom w:val="none" w:color="FFFFFF" w:sz="0"/>
              <w:right w:val="none" w:color="FFFFFF" w:sz="0"/>
            </w:tcBorders>
            <w:shd w:fill="EAF2F1" w:color="auto" w:val="clear"/>
            <w:tcMar>
              <w:top w:type="dxa" w:w="180"/>
              <w:left w:type="dxa" w:w="260"/>
              <w:bottom w:type="dxa" w:w="180"/>
              <w:right w:type="dxa" w:w="260"/>
            </w:tcMar>
          </w:tcPr>
          <w:p>
            <w:pPr>
              <w:spacing w:after="60"/>
            </w:pPr>
            <w:r>
              <w:rPr>
                <w:rFonts w:ascii="Calibri" w:cs="Calibri" w:eastAsia="Calibri" w:hAnsi="Calibri"/>
                <w:b/>
                <w:bCs/>
                <w:color w:val="0E2338"/>
                <w:sz w:val="20"/>
                <w:szCs w:val="20"/>
              </w:rPr>
              <w:t xml:space="preserve">Engagement opportunity</w:t>
            </w:r>
          </w:p>
          <w:p>
            <w:pPr>
              <w:spacing w:after="0" w:line="264"/>
            </w:pPr>
            <w:r>
              <w:rPr>
                <w:rFonts w:ascii="Calibri" w:cs="Calibri" w:eastAsia="Calibri" w:hAnsi="Calibri"/>
                <w:color w:val="3A3A3A"/>
                <w:sz w:val="20"/>
                <w:szCs w:val="20"/>
              </w:rPr>
              <w:t xml:space="preserve">The low-engagement segment represented 37.7% of customers and had the highest churn rate at 28.3%. More than one in three customers are lightly engaged, and nearly three in ten in this segment leave — making engagement improvement a worthwhile retention opportunity. Gender and age showed little practical value as churn indicators; churn is driven more by experience and behaviour than demographics.</w:t>
            </w:r>
          </w:p>
        </w:tc>
      </w:tr>
    </w:tbl>
    <w:p>
      <w:pPr>
        <w:spacing w:after="160" w:before="120"/>
        <w:jc w:val="center"/>
      </w:pPr>
      <w:r>
        <w:drawing>
          <wp:inline distT="0" distB="0" distL="0" distR="0">
            <wp:extent cx="6096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743200"/>
                    </a:xfrm>
                    <a:prstGeom prst="rect">
                      <a:avLst/>
                    </a:prstGeom>
                  </pic:spPr>
                </pic:pic>
              </a:graphicData>
            </a:graphic>
          </wp:inline>
        </w:drawing>
      </w:r>
    </w:p>
    <w:p>
      <w:pPr>
        <w:spacing w:after="160"/>
      </w:pPr>
    </w:p>
    <w:p>
      <w:pPr>
        <w:spacing w:after="100" w:before="220"/>
      </w:pPr>
      <w:r>
        <w:rPr>
          <w:rFonts w:ascii="Calibri" w:cs="Calibri" w:eastAsia="Calibri" w:hAnsi="Calibri"/>
          <w:b/>
          <w:bCs/>
          <w:color w:val="2E7D7D"/>
          <w:sz w:val="22"/>
          <w:szCs w:val="22"/>
        </w:rPr>
        <w:t xml:space="preserve">Model Comparison</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480"/>
        <w:gridCol w:w="1480"/>
        <w:gridCol w:w="1280"/>
        <w:gridCol w:w="1380"/>
        <w:gridCol w:w="1380"/>
      </w:tblGrid>
      <w:tr>
        <w:trPr>
          <w:tblHeader/>
        </w:trPr>
        <w:tc>
          <w:tcPr>
            <w:tcW w:type="dxa" w:w="2600"/>
            <w:tcBorders>
              <w:top w:val="single" w:color="0E2338" w:sz="4"/>
              <w:left w:val="single" w:color="0E2338" w:sz="4"/>
              <w:bottom w:val="single" w:color="0E2338" w:sz="4"/>
              <w:right w:val="single" w:color="0E2338" w:sz="4"/>
            </w:tcBorders>
            <w:shd w:fill="0E2338"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Model</w:t>
            </w:r>
          </w:p>
        </w:tc>
        <w:tc>
          <w:tcPr>
            <w:tcW w:type="dxa" w:w="1480"/>
            <w:tcBorders>
              <w:top w:val="single" w:color="0E2338" w:sz="4"/>
              <w:left w:val="single" w:color="0E2338" w:sz="4"/>
              <w:bottom w:val="single" w:color="0E2338" w:sz="4"/>
              <w:right w:val="single" w:color="0E2338" w:sz="4"/>
            </w:tcBorders>
            <w:shd w:fill="0E2338"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Accuracy</w:t>
            </w:r>
          </w:p>
        </w:tc>
        <w:tc>
          <w:tcPr>
            <w:tcW w:type="dxa" w:w="1480"/>
            <w:tcBorders>
              <w:top w:val="single" w:color="0E2338" w:sz="4"/>
              <w:left w:val="single" w:color="0E2338" w:sz="4"/>
              <w:bottom w:val="single" w:color="0E2338" w:sz="4"/>
              <w:right w:val="single" w:color="0E2338" w:sz="4"/>
            </w:tcBorders>
            <w:shd w:fill="0E2338"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Precision</w:t>
            </w:r>
          </w:p>
        </w:tc>
        <w:tc>
          <w:tcPr>
            <w:tcW w:type="dxa" w:w="1280"/>
            <w:tcBorders>
              <w:top w:val="single" w:color="0E2338" w:sz="4"/>
              <w:left w:val="single" w:color="0E2338" w:sz="4"/>
              <w:bottom w:val="single" w:color="0E2338" w:sz="4"/>
              <w:right w:val="single" w:color="0E2338" w:sz="4"/>
            </w:tcBorders>
            <w:shd w:fill="0E2338"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Recall</w:t>
            </w:r>
          </w:p>
        </w:tc>
        <w:tc>
          <w:tcPr>
            <w:tcW w:type="dxa" w:w="1380"/>
            <w:tcBorders>
              <w:top w:val="single" w:color="0E2338" w:sz="4"/>
              <w:left w:val="single" w:color="0E2338" w:sz="4"/>
              <w:bottom w:val="single" w:color="0E2338" w:sz="4"/>
              <w:right w:val="single" w:color="0E2338" w:sz="4"/>
            </w:tcBorders>
            <w:shd w:fill="0E2338"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F1-score</w:t>
            </w:r>
          </w:p>
        </w:tc>
        <w:tc>
          <w:tcPr>
            <w:tcW w:type="dxa" w:w="1380"/>
            <w:tcBorders>
              <w:top w:val="single" w:color="0E2338" w:sz="4"/>
              <w:left w:val="single" w:color="0E2338" w:sz="4"/>
              <w:bottom w:val="single" w:color="0E2338" w:sz="4"/>
              <w:right w:val="single" w:color="0E2338" w:sz="4"/>
            </w:tcBorders>
            <w:shd w:fill="0E2338"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ROC-AUC</w:t>
            </w:r>
          </w:p>
        </w:tc>
      </w:tr>
      <w:tr>
        <w:tc>
          <w:tcPr>
            <w:tcW w:type="dxa" w:w="2600"/>
            <w:tcBorders>
              <w:top w:val="single" w:color="D9D6CC" w:sz="4"/>
              <w:left w:val="single" w:color="D9D6CC" w:sz="4"/>
              <w:bottom w:val="single" w:color="D9D6CC" w:sz="4"/>
              <w:right w:val="single" w:color="D9D6CC"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0E2338"/>
                <w:sz w:val="19"/>
                <w:szCs w:val="19"/>
              </w:rPr>
              <w:t xml:space="preserve">Logistic Regression</w:t>
            </w:r>
          </w:p>
        </w:tc>
        <w:tc>
          <w:tcPr>
            <w:tcW w:type="dxa" w:w="1480"/>
            <w:tcBorders>
              <w:top w:val="single" w:color="D9D6CC" w:sz="4"/>
              <w:left w:val="single" w:color="D9D6CC" w:sz="4"/>
              <w:bottom w:val="single" w:color="D9D6CC" w:sz="4"/>
              <w:right w:val="single" w:color="D9D6CC" w:sz="4"/>
            </w:tcBorders>
            <w:shd w:fill="FFFFFF" w:color="auto" w:val="clear"/>
            <w:tcMar>
              <w:top w:type="dxa" w:w="90"/>
              <w:left w:type="dxa" w:w="120"/>
              <w:bottom w:type="dxa" w:w="90"/>
              <w:right w:type="dxa" w:w="120"/>
            </w:tcMar>
            <w:vAlign w:val="center"/>
          </w:tcPr>
          <w:p>
            <w:pPr>
              <w:jc w:val="center"/>
            </w:pPr>
            <w:r>
              <w:rPr>
                <w:rFonts w:ascii="Calibri" w:cs="Calibri" w:eastAsia="Calibri" w:hAnsi="Calibri"/>
                <w:b w:val="false"/>
                <w:bCs w:val="false"/>
                <w:color w:val="0E2338"/>
                <w:sz w:val="19"/>
                <w:szCs w:val="19"/>
              </w:rPr>
              <w:t xml:space="preserve">72.4%</w:t>
            </w:r>
          </w:p>
        </w:tc>
        <w:tc>
          <w:tcPr>
            <w:tcW w:type="dxa" w:w="1480"/>
            <w:tcBorders>
              <w:top w:val="single" w:color="D9D6CC" w:sz="4"/>
              <w:left w:val="single" w:color="D9D6CC" w:sz="4"/>
              <w:bottom w:val="single" w:color="D9D6CC" w:sz="4"/>
              <w:right w:val="single" w:color="D9D6CC" w:sz="4"/>
            </w:tcBorders>
            <w:shd w:fill="FFFFFF" w:color="auto" w:val="clear"/>
            <w:tcMar>
              <w:top w:type="dxa" w:w="90"/>
              <w:left w:type="dxa" w:w="120"/>
              <w:bottom w:type="dxa" w:w="90"/>
              <w:right w:type="dxa" w:w="120"/>
            </w:tcMar>
            <w:vAlign w:val="center"/>
          </w:tcPr>
          <w:p>
            <w:pPr>
              <w:jc w:val="center"/>
            </w:pPr>
            <w:r>
              <w:rPr>
                <w:rFonts w:ascii="Calibri" w:cs="Calibri" w:eastAsia="Calibri" w:hAnsi="Calibri"/>
                <w:b w:val="false"/>
                <w:bCs w:val="false"/>
                <w:color w:val="0E2338"/>
                <w:sz w:val="19"/>
                <w:szCs w:val="19"/>
              </w:rPr>
              <w:t xml:space="preserve">33.3%</w:t>
            </w:r>
          </w:p>
        </w:tc>
        <w:tc>
          <w:tcPr>
            <w:tcW w:type="dxa" w:w="1280"/>
            <w:tcBorders>
              <w:top w:val="single" w:color="D9D6CC" w:sz="4"/>
              <w:left w:val="single" w:color="D9D6CC" w:sz="4"/>
              <w:bottom w:val="single" w:color="D9D6CC" w:sz="4"/>
              <w:right w:val="single" w:color="D9D6CC" w:sz="4"/>
            </w:tcBorders>
            <w:shd w:fill="FFFFFF" w:color="auto" w:val="clear"/>
            <w:tcMar>
              <w:top w:type="dxa" w:w="90"/>
              <w:left w:type="dxa" w:w="120"/>
              <w:bottom w:type="dxa" w:w="90"/>
              <w:right w:type="dxa" w:w="120"/>
            </w:tcMar>
            <w:vAlign w:val="center"/>
          </w:tcPr>
          <w:p>
            <w:pPr>
              <w:jc w:val="center"/>
            </w:pPr>
            <w:r>
              <w:rPr>
                <w:rFonts w:ascii="Calibri" w:cs="Calibri" w:eastAsia="Calibri" w:hAnsi="Calibri"/>
                <w:b w:val="false"/>
                <w:bCs w:val="false"/>
                <w:color w:val="0E2338"/>
                <w:sz w:val="19"/>
                <w:szCs w:val="19"/>
              </w:rPr>
              <w:t xml:space="preserve">1.1%</w:t>
            </w:r>
          </w:p>
        </w:tc>
        <w:tc>
          <w:tcPr>
            <w:tcW w:type="dxa" w:w="1380"/>
            <w:tcBorders>
              <w:top w:val="single" w:color="D9D6CC" w:sz="4"/>
              <w:left w:val="single" w:color="D9D6CC" w:sz="4"/>
              <w:bottom w:val="single" w:color="D9D6CC" w:sz="4"/>
              <w:right w:val="single" w:color="D9D6CC" w:sz="4"/>
            </w:tcBorders>
            <w:shd w:fill="FFFFFF" w:color="auto" w:val="clear"/>
            <w:tcMar>
              <w:top w:type="dxa" w:w="90"/>
              <w:left w:type="dxa" w:w="120"/>
              <w:bottom w:type="dxa" w:w="90"/>
              <w:right w:type="dxa" w:w="120"/>
            </w:tcMar>
            <w:vAlign w:val="center"/>
          </w:tcPr>
          <w:p>
            <w:pPr>
              <w:jc w:val="center"/>
            </w:pPr>
            <w:r>
              <w:rPr>
                <w:rFonts w:ascii="Calibri" w:cs="Calibri" w:eastAsia="Calibri" w:hAnsi="Calibri"/>
                <w:b w:val="false"/>
                <w:bCs w:val="false"/>
                <w:color w:val="0E2338"/>
                <w:sz w:val="19"/>
                <w:szCs w:val="19"/>
              </w:rPr>
              <w:t xml:space="preserve">2.1%</w:t>
            </w:r>
          </w:p>
        </w:tc>
        <w:tc>
          <w:tcPr>
            <w:tcW w:type="dxa" w:w="1380"/>
            <w:tcBorders>
              <w:top w:val="single" w:color="D9D6CC" w:sz="4"/>
              <w:left w:val="single" w:color="D9D6CC" w:sz="4"/>
              <w:bottom w:val="single" w:color="D9D6CC" w:sz="4"/>
              <w:right w:val="single" w:color="D9D6CC" w:sz="4"/>
            </w:tcBorders>
            <w:shd w:fill="FFFFFF" w:color="auto" w:val="clear"/>
            <w:tcMar>
              <w:top w:type="dxa" w:w="90"/>
              <w:left w:type="dxa" w:w="120"/>
              <w:bottom w:type="dxa" w:w="90"/>
              <w:right w:type="dxa" w:w="120"/>
            </w:tcMar>
            <w:vAlign w:val="center"/>
          </w:tcPr>
          <w:p>
            <w:pPr>
              <w:jc w:val="center"/>
            </w:pPr>
            <w:r>
              <w:rPr>
                <w:rFonts w:ascii="Calibri" w:cs="Calibri" w:eastAsia="Calibri" w:hAnsi="Calibri"/>
                <w:b w:val="false"/>
                <w:bCs w:val="false"/>
                <w:color w:val="0E2338"/>
                <w:sz w:val="19"/>
                <w:szCs w:val="19"/>
              </w:rPr>
              <w:t xml:space="preserve">0.6245</w:t>
            </w:r>
          </w:p>
        </w:tc>
      </w:tr>
      <w:tr>
        <w:tc>
          <w:tcPr>
            <w:tcW w:type="dxa" w:w="2600"/>
            <w:tcBorders>
              <w:top w:val="single" w:color="D9D6CC" w:sz="4"/>
              <w:left w:val="single" w:color="D9D6CC" w:sz="4"/>
              <w:bottom w:val="single" w:color="D9D6CC" w:sz="4"/>
              <w:right w:val="single" w:color="D9D6CC" w:sz="4"/>
            </w:tcBorders>
            <w:shd w:fill="F3F1EA"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Gradient Boosting</w:t>
            </w:r>
          </w:p>
        </w:tc>
        <w:tc>
          <w:tcPr>
            <w:tcW w:type="dxa" w:w="1480"/>
            <w:tcBorders>
              <w:top w:val="single" w:color="D9D6CC" w:sz="4"/>
              <w:left w:val="single" w:color="D9D6CC" w:sz="4"/>
              <w:bottom w:val="single" w:color="D9D6CC" w:sz="4"/>
              <w:right w:val="single" w:color="D9D6CC" w:sz="4"/>
            </w:tcBorders>
            <w:shd w:fill="F3F1EA" w:color="auto" w:val="clear"/>
            <w:tcMar>
              <w:top w:type="dxa" w:w="90"/>
              <w:left w:type="dxa" w:w="120"/>
              <w:bottom w:type="dxa" w:w="90"/>
              <w:right w:type="dxa" w:w="120"/>
            </w:tcMar>
            <w:vAlign w:val="center"/>
          </w:tcPr>
          <w:p>
            <w:pPr>
              <w:jc w:val="center"/>
            </w:pPr>
            <w:r>
              <w:rPr>
                <w:rFonts w:ascii="Calibri" w:cs="Calibri" w:eastAsia="Calibri" w:hAnsi="Calibri"/>
                <w:b w:val="false"/>
                <w:bCs w:val="false"/>
                <w:color w:val="2B2B2B"/>
                <w:sz w:val="19"/>
                <w:szCs w:val="19"/>
              </w:rPr>
              <w:t xml:space="preserve">72.7%</w:t>
            </w:r>
          </w:p>
        </w:tc>
        <w:tc>
          <w:tcPr>
            <w:tcW w:type="dxa" w:w="1480"/>
            <w:tcBorders>
              <w:top w:val="single" w:color="D9D6CC" w:sz="4"/>
              <w:left w:val="single" w:color="D9D6CC" w:sz="4"/>
              <w:bottom w:val="single" w:color="D9D6CC" w:sz="4"/>
              <w:right w:val="single" w:color="D9D6CC" w:sz="4"/>
            </w:tcBorders>
            <w:shd w:fill="F3F1EA" w:color="auto" w:val="clear"/>
            <w:tcMar>
              <w:top w:type="dxa" w:w="90"/>
              <w:left w:type="dxa" w:w="120"/>
              <w:bottom w:type="dxa" w:w="90"/>
              <w:right w:type="dxa" w:w="120"/>
            </w:tcMar>
            <w:vAlign w:val="center"/>
          </w:tcPr>
          <w:p>
            <w:pPr>
              <w:jc w:val="center"/>
            </w:pPr>
            <w:r>
              <w:rPr>
                <w:rFonts w:ascii="Calibri" w:cs="Calibri" w:eastAsia="Calibri" w:hAnsi="Calibri"/>
                <w:b w:val="false"/>
                <w:bCs w:val="false"/>
                <w:color w:val="2B2B2B"/>
                <w:sz w:val="19"/>
                <w:szCs w:val="19"/>
              </w:rPr>
              <w:t xml:space="preserve">50.0%</w:t>
            </w:r>
          </w:p>
        </w:tc>
        <w:tc>
          <w:tcPr>
            <w:tcW w:type="dxa" w:w="1280"/>
            <w:tcBorders>
              <w:top w:val="single" w:color="D9D6CC" w:sz="4"/>
              <w:left w:val="single" w:color="D9D6CC" w:sz="4"/>
              <w:bottom w:val="single" w:color="D9D6CC" w:sz="4"/>
              <w:right w:val="single" w:color="D9D6CC" w:sz="4"/>
            </w:tcBorders>
            <w:shd w:fill="F3F1EA" w:color="auto" w:val="clear"/>
            <w:tcMar>
              <w:top w:type="dxa" w:w="90"/>
              <w:left w:type="dxa" w:w="120"/>
              <w:bottom w:type="dxa" w:w="90"/>
              <w:right w:type="dxa" w:w="120"/>
            </w:tcMar>
            <w:vAlign w:val="center"/>
          </w:tcPr>
          <w:p>
            <w:pPr>
              <w:jc w:val="center"/>
            </w:pPr>
            <w:r>
              <w:rPr>
                <w:rFonts w:ascii="Calibri" w:cs="Calibri" w:eastAsia="Calibri" w:hAnsi="Calibri"/>
                <w:b w:val="false"/>
                <w:bCs w:val="false"/>
                <w:color w:val="2B2B2B"/>
                <w:sz w:val="19"/>
                <w:szCs w:val="19"/>
              </w:rPr>
              <w:t xml:space="preserve">0.2%</w:t>
            </w:r>
          </w:p>
        </w:tc>
        <w:tc>
          <w:tcPr>
            <w:tcW w:type="dxa" w:w="1380"/>
            <w:tcBorders>
              <w:top w:val="single" w:color="D9D6CC" w:sz="4"/>
              <w:left w:val="single" w:color="D9D6CC" w:sz="4"/>
              <w:bottom w:val="single" w:color="D9D6CC" w:sz="4"/>
              <w:right w:val="single" w:color="D9D6CC" w:sz="4"/>
            </w:tcBorders>
            <w:shd w:fill="F3F1EA" w:color="auto" w:val="clear"/>
            <w:tcMar>
              <w:top w:type="dxa" w:w="90"/>
              <w:left w:type="dxa" w:w="120"/>
              <w:bottom w:type="dxa" w:w="90"/>
              <w:right w:type="dxa" w:w="120"/>
            </w:tcMar>
            <w:vAlign w:val="center"/>
          </w:tcPr>
          <w:p>
            <w:pPr>
              <w:jc w:val="center"/>
            </w:pPr>
            <w:r>
              <w:rPr>
                <w:rFonts w:ascii="Calibri" w:cs="Calibri" w:eastAsia="Calibri" w:hAnsi="Calibri"/>
                <w:b w:val="false"/>
                <w:bCs w:val="false"/>
                <w:color w:val="2B2B2B"/>
                <w:sz w:val="19"/>
                <w:szCs w:val="19"/>
              </w:rPr>
              <w:t xml:space="preserve">0.4%</w:t>
            </w:r>
          </w:p>
        </w:tc>
        <w:tc>
          <w:tcPr>
            <w:tcW w:type="dxa" w:w="1380"/>
            <w:tcBorders>
              <w:top w:val="single" w:color="D9D6CC" w:sz="4"/>
              <w:left w:val="single" w:color="D9D6CC" w:sz="4"/>
              <w:bottom w:val="single" w:color="D9D6CC" w:sz="4"/>
              <w:right w:val="single" w:color="D9D6CC" w:sz="4"/>
            </w:tcBorders>
            <w:shd w:fill="F3F1EA" w:color="auto" w:val="clear"/>
            <w:tcMar>
              <w:top w:type="dxa" w:w="90"/>
              <w:left w:type="dxa" w:w="120"/>
              <w:bottom w:type="dxa" w:w="90"/>
              <w:right w:type="dxa" w:w="120"/>
            </w:tcMar>
            <w:vAlign w:val="center"/>
          </w:tcPr>
          <w:p>
            <w:pPr>
              <w:jc w:val="center"/>
            </w:pPr>
            <w:r>
              <w:rPr>
                <w:rFonts w:ascii="Calibri" w:cs="Calibri" w:eastAsia="Calibri" w:hAnsi="Calibri"/>
                <w:b w:val="false"/>
                <w:bCs w:val="false"/>
                <w:color w:val="2B2B2B"/>
                <w:sz w:val="19"/>
                <w:szCs w:val="19"/>
              </w:rPr>
              <w:t xml:space="preserve">0.6155</w:t>
            </w:r>
          </w:p>
        </w:tc>
      </w:tr>
      <w:tr>
        <w:tc>
          <w:tcPr>
            <w:tcW w:type="dxa" w:w="2600"/>
            <w:tcBorders>
              <w:top w:val="single" w:color="D9D6CC" w:sz="4"/>
              <w:left w:val="single" w:color="D9D6CC" w:sz="4"/>
              <w:bottom w:val="single" w:color="D9D6CC" w:sz="4"/>
              <w:right w:val="single" w:color="D9D6CC"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Random Forest</w:t>
            </w:r>
          </w:p>
        </w:tc>
        <w:tc>
          <w:tcPr>
            <w:tcW w:type="dxa" w:w="1480"/>
            <w:tcBorders>
              <w:top w:val="single" w:color="D9D6CC" w:sz="4"/>
              <w:left w:val="single" w:color="D9D6CC" w:sz="4"/>
              <w:bottom w:val="single" w:color="D9D6CC" w:sz="4"/>
              <w:right w:val="single" w:color="D9D6CC" w:sz="4"/>
            </w:tcBorders>
            <w:shd w:fill="FFFFFF" w:color="auto" w:val="clear"/>
            <w:tcMar>
              <w:top w:type="dxa" w:w="90"/>
              <w:left w:type="dxa" w:w="120"/>
              <w:bottom w:type="dxa" w:w="90"/>
              <w:right w:type="dxa" w:w="120"/>
            </w:tcMar>
            <w:vAlign w:val="center"/>
          </w:tcPr>
          <w:p>
            <w:pPr>
              <w:jc w:val="center"/>
            </w:pPr>
            <w:r>
              <w:rPr>
                <w:rFonts w:ascii="Calibri" w:cs="Calibri" w:eastAsia="Calibri" w:hAnsi="Calibri"/>
                <w:b w:val="false"/>
                <w:bCs w:val="false"/>
                <w:color w:val="2B2B2B"/>
                <w:sz w:val="19"/>
                <w:szCs w:val="19"/>
              </w:rPr>
              <w:t xml:space="preserve">72.6%</w:t>
            </w:r>
          </w:p>
        </w:tc>
        <w:tc>
          <w:tcPr>
            <w:tcW w:type="dxa" w:w="1480"/>
            <w:tcBorders>
              <w:top w:val="single" w:color="D9D6CC" w:sz="4"/>
              <w:left w:val="single" w:color="D9D6CC" w:sz="4"/>
              <w:bottom w:val="single" w:color="D9D6CC" w:sz="4"/>
              <w:right w:val="single" w:color="D9D6CC" w:sz="4"/>
            </w:tcBorders>
            <w:shd w:fill="FFFFFF" w:color="auto" w:val="clear"/>
            <w:tcMar>
              <w:top w:type="dxa" w:w="90"/>
              <w:left w:type="dxa" w:w="120"/>
              <w:bottom w:type="dxa" w:w="90"/>
              <w:right w:type="dxa" w:w="120"/>
            </w:tcMar>
            <w:vAlign w:val="center"/>
          </w:tcPr>
          <w:p>
            <w:pPr>
              <w:jc w:val="center"/>
            </w:pPr>
            <w:r>
              <w:rPr>
                <w:rFonts w:ascii="Calibri" w:cs="Calibri" w:eastAsia="Calibri" w:hAnsi="Calibri"/>
                <w:b w:val="false"/>
                <w:bCs w:val="false"/>
                <w:color w:val="2B2B2B"/>
                <w:sz w:val="19"/>
                <w:szCs w:val="19"/>
              </w:rPr>
              <w:t xml:space="preserve">33.3%</w:t>
            </w:r>
          </w:p>
        </w:tc>
        <w:tc>
          <w:tcPr>
            <w:tcW w:type="dxa" w:w="1280"/>
            <w:tcBorders>
              <w:top w:val="single" w:color="D9D6CC" w:sz="4"/>
              <w:left w:val="single" w:color="D9D6CC" w:sz="4"/>
              <w:bottom w:val="single" w:color="D9D6CC" w:sz="4"/>
              <w:right w:val="single" w:color="D9D6CC" w:sz="4"/>
            </w:tcBorders>
            <w:shd w:fill="FFFFFF" w:color="auto" w:val="clear"/>
            <w:tcMar>
              <w:top w:type="dxa" w:w="90"/>
              <w:left w:type="dxa" w:w="120"/>
              <w:bottom w:type="dxa" w:w="90"/>
              <w:right w:type="dxa" w:w="120"/>
            </w:tcMar>
            <w:vAlign w:val="center"/>
          </w:tcPr>
          <w:p>
            <w:pPr>
              <w:jc w:val="center"/>
            </w:pPr>
            <w:r>
              <w:rPr>
                <w:rFonts w:ascii="Calibri" w:cs="Calibri" w:eastAsia="Calibri" w:hAnsi="Calibri"/>
                <w:b w:val="false"/>
                <w:bCs w:val="false"/>
                <w:color w:val="2B2B2B"/>
                <w:sz w:val="19"/>
                <w:szCs w:val="19"/>
              </w:rPr>
              <w:t xml:space="preserve">0.4%</w:t>
            </w:r>
          </w:p>
        </w:tc>
        <w:tc>
          <w:tcPr>
            <w:tcW w:type="dxa" w:w="1380"/>
            <w:tcBorders>
              <w:top w:val="single" w:color="D9D6CC" w:sz="4"/>
              <w:left w:val="single" w:color="D9D6CC" w:sz="4"/>
              <w:bottom w:val="single" w:color="D9D6CC" w:sz="4"/>
              <w:right w:val="single" w:color="D9D6CC" w:sz="4"/>
            </w:tcBorders>
            <w:shd w:fill="FFFFFF" w:color="auto" w:val="clear"/>
            <w:tcMar>
              <w:top w:type="dxa" w:w="90"/>
              <w:left w:type="dxa" w:w="120"/>
              <w:bottom w:type="dxa" w:w="90"/>
              <w:right w:type="dxa" w:w="120"/>
            </w:tcMar>
            <w:vAlign w:val="center"/>
          </w:tcPr>
          <w:p>
            <w:pPr>
              <w:jc w:val="center"/>
            </w:pPr>
            <w:r>
              <w:rPr>
                <w:rFonts w:ascii="Calibri" w:cs="Calibri" w:eastAsia="Calibri" w:hAnsi="Calibri"/>
                <w:b w:val="false"/>
                <w:bCs w:val="false"/>
                <w:color w:val="2B2B2B"/>
                <w:sz w:val="19"/>
                <w:szCs w:val="19"/>
              </w:rPr>
              <w:t xml:space="preserve">0.7%</w:t>
            </w:r>
          </w:p>
        </w:tc>
        <w:tc>
          <w:tcPr>
            <w:tcW w:type="dxa" w:w="1380"/>
            <w:tcBorders>
              <w:top w:val="single" w:color="D9D6CC" w:sz="4"/>
              <w:left w:val="single" w:color="D9D6CC" w:sz="4"/>
              <w:bottom w:val="single" w:color="D9D6CC" w:sz="4"/>
              <w:right w:val="single" w:color="D9D6CC" w:sz="4"/>
            </w:tcBorders>
            <w:shd w:fill="FFFFFF" w:color="auto" w:val="clear"/>
            <w:tcMar>
              <w:top w:type="dxa" w:w="90"/>
              <w:left w:type="dxa" w:w="120"/>
              <w:bottom w:type="dxa" w:w="90"/>
              <w:right w:type="dxa" w:w="120"/>
            </w:tcMar>
            <w:vAlign w:val="center"/>
          </w:tcPr>
          <w:p>
            <w:pPr>
              <w:jc w:val="center"/>
            </w:pPr>
            <w:r>
              <w:rPr>
                <w:rFonts w:ascii="Calibri" w:cs="Calibri" w:eastAsia="Calibri" w:hAnsi="Calibri"/>
                <w:b w:val="false"/>
                <w:bCs w:val="false"/>
                <w:color w:val="2B2B2B"/>
                <w:sz w:val="19"/>
                <w:szCs w:val="19"/>
              </w:rPr>
              <w:t xml:space="preserve">0.6111</w:t>
            </w:r>
          </w:p>
        </w:tc>
      </w:tr>
      <w:tr>
        <w:tc>
          <w:tcPr>
            <w:tcW w:type="dxa" w:w="2600"/>
            <w:tcBorders>
              <w:top w:val="single" w:color="D9D6CC" w:sz="4"/>
              <w:left w:val="single" w:color="D9D6CC" w:sz="4"/>
              <w:bottom w:val="single" w:color="D9D6CC" w:sz="4"/>
              <w:right w:val="single" w:color="D9D6CC" w:sz="4"/>
            </w:tcBorders>
            <w:shd w:fill="F3F1EA"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Decision Tree</w:t>
            </w:r>
          </w:p>
        </w:tc>
        <w:tc>
          <w:tcPr>
            <w:tcW w:type="dxa" w:w="1480"/>
            <w:tcBorders>
              <w:top w:val="single" w:color="D9D6CC" w:sz="4"/>
              <w:left w:val="single" w:color="D9D6CC" w:sz="4"/>
              <w:bottom w:val="single" w:color="D9D6CC" w:sz="4"/>
              <w:right w:val="single" w:color="D9D6CC" w:sz="4"/>
            </w:tcBorders>
            <w:shd w:fill="F3F1EA" w:color="auto" w:val="clear"/>
            <w:tcMar>
              <w:top w:type="dxa" w:w="90"/>
              <w:left w:type="dxa" w:w="120"/>
              <w:bottom w:type="dxa" w:w="90"/>
              <w:right w:type="dxa" w:w="120"/>
            </w:tcMar>
            <w:vAlign w:val="center"/>
          </w:tcPr>
          <w:p>
            <w:pPr>
              <w:jc w:val="center"/>
            </w:pPr>
            <w:r>
              <w:rPr>
                <w:rFonts w:ascii="Calibri" w:cs="Calibri" w:eastAsia="Calibri" w:hAnsi="Calibri"/>
                <w:b w:val="false"/>
                <w:bCs w:val="false"/>
                <w:color w:val="2B2B2B"/>
                <w:sz w:val="19"/>
                <w:szCs w:val="19"/>
              </w:rPr>
              <w:t xml:space="preserve">71.9%</w:t>
            </w:r>
          </w:p>
        </w:tc>
        <w:tc>
          <w:tcPr>
            <w:tcW w:type="dxa" w:w="1480"/>
            <w:tcBorders>
              <w:top w:val="single" w:color="D9D6CC" w:sz="4"/>
              <w:left w:val="single" w:color="D9D6CC" w:sz="4"/>
              <w:bottom w:val="single" w:color="D9D6CC" w:sz="4"/>
              <w:right w:val="single" w:color="D9D6CC" w:sz="4"/>
            </w:tcBorders>
            <w:shd w:fill="F3F1EA" w:color="auto" w:val="clear"/>
            <w:tcMar>
              <w:top w:type="dxa" w:w="90"/>
              <w:left w:type="dxa" w:w="120"/>
              <w:bottom w:type="dxa" w:w="90"/>
              <w:right w:type="dxa" w:w="120"/>
            </w:tcMar>
            <w:vAlign w:val="center"/>
          </w:tcPr>
          <w:p>
            <w:pPr>
              <w:jc w:val="center"/>
            </w:pPr>
            <w:r>
              <w:rPr>
                <w:rFonts w:ascii="Calibri" w:cs="Calibri" w:eastAsia="Calibri" w:hAnsi="Calibri"/>
                <w:b w:val="false"/>
                <w:bCs w:val="false"/>
                <w:color w:val="2B2B2B"/>
                <w:sz w:val="19"/>
                <w:szCs w:val="19"/>
              </w:rPr>
              <w:t xml:space="preserve">23.3%</w:t>
            </w:r>
          </w:p>
        </w:tc>
        <w:tc>
          <w:tcPr>
            <w:tcW w:type="dxa" w:w="1280"/>
            <w:tcBorders>
              <w:top w:val="single" w:color="D9D6CC" w:sz="4"/>
              <w:left w:val="single" w:color="D9D6CC" w:sz="4"/>
              <w:bottom w:val="single" w:color="D9D6CC" w:sz="4"/>
              <w:right w:val="single" w:color="D9D6CC" w:sz="4"/>
            </w:tcBorders>
            <w:shd w:fill="F3F1EA" w:color="auto" w:val="clear"/>
            <w:tcMar>
              <w:top w:type="dxa" w:w="90"/>
              <w:left w:type="dxa" w:w="120"/>
              <w:bottom w:type="dxa" w:w="90"/>
              <w:right w:type="dxa" w:w="120"/>
            </w:tcMar>
            <w:vAlign w:val="center"/>
          </w:tcPr>
          <w:p>
            <w:pPr>
              <w:jc w:val="center"/>
            </w:pPr>
            <w:r>
              <w:rPr>
                <w:rFonts w:ascii="Calibri" w:cs="Calibri" w:eastAsia="Calibri" w:hAnsi="Calibri"/>
                <w:b w:val="false"/>
                <w:bCs w:val="false"/>
                <w:color w:val="2B2B2B"/>
                <w:sz w:val="19"/>
                <w:szCs w:val="19"/>
              </w:rPr>
              <w:t xml:space="preserve">1.3%</w:t>
            </w:r>
          </w:p>
        </w:tc>
        <w:tc>
          <w:tcPr>
            <w:tcW w:type="dxa" w:w="1380"/>
            <w:tcBorders>
              <w:top w:val="single" w:color="D9D6CC" w:sz="4"/>
              <w:left w:val="single" w:color="D9D6CC" w:sz="4"/>
              <w:bottom w:val="single" w:color="D9D6CC" w:sz="4"/>
              <w:right w:val="single" w:color="D9D6CC" w:sz="4"/>
            </w:tcBorders>
            <w:shd w:fill="F3F1EA" w:color="auto" w:val="clear"/>
            <w:tcMar>
              <w:top w:type="dxa" w:w="90"/>
              <w:left w:type="dxa" w:w="120"/>
              <w:bottom w:type="dxa" w:w="90"/>
              <w:right w:type="dxa" w:w="120"/>
            </w:tcMar>
            <w:vAlign w:val="center"/>
          </w:tcPr>
          <w:p>
            <w:pPr>
              <w:jc w:val="center"/>
            </w:pPr>
            <w:r>
              <w:rPr>
                <w:rFonts w:ascii="Calibri" w:cs="Calibri" w:eastAsia="Calibri" w:hAnsi="Calibri"/>
                <w:b w:val="false"/>
                <w:bCs w:val="false"/>
                <w:color w:val="2B2B2B"/>
                <w:sz w:val="19"/>
                <w:szCs w:val="19"/>
              </w:rPr>
              <w:t xml:space="preserve">2.4%</w:t>
            </w:r>
          </w:p>
        </w:tc>
        <w:tc>
          <w:tcPr>
            <w:tcW w:type="dxa" w:w="1380"/>
            <w:tcBorders>
              <w:top w:val="single" w:color="D9D6CC" w:sz="4"/>
              <w:left w:val="single" w:color="D9D6CC" w:sz="4"/>
              <w:bottom w:val="single" w:color="D9D6CC" w:sz="4"/>
              <w:right w:val="single" w:color="D9D6CC" w:sz="4"/>
            </w:tcBorders>
            <w:shd w:fill="F3F1EA" w:color="auto" w:val="clear"/>
            <w:tcMar>
              <w:top w:type="dxa" w:w="90"/>
              <w:left w:type="dxa" w:w="120"/>
              <w:bottom w:type="dxa" w:w="90"/>
              <w:right w:type="dxa" w:w="120"/>
            </w:tcMar>
            <w:vAlign w:val="center"/>
          </w:tcPr>
          <w:p>
            <w:pPr>
              <w:jc w:val="center"/>
            </w:pPr>
            <w:r>
              <w:rPr>
                <w:rFonts w:ascii="Calibri" w:cs="Calibri" w:eastAsia="Calibri" w:hAnsi="Calibri"/>
                <w:b w:val="false"/>
                <w:bCs w:val="false"/>
                <w:color w:val="2B2B2B"/>
                <w:sz w:val="19"/>
                <w:szCs w:val="19"/>
              </w:rPr>
              <w:t xml:space="preserve">0.5964</w:t>
            </w:r>
          </w:p>
        </w:tc>
      </w:tr>
      <w:tr>
        <w:tc>
          <w:tcPr>
            <w:tcW w:type="dxa" w:w="2600"/>
            <w:tcBorders>
              <w:top w:val="single" w:color="D9D6CC" w:sz="4"/>
              <w:left w:val="single" w:color="D9D6CC" w:sz="4"/>
              <w:bottom w:val="single" w:color="D9D6CC" w:sz="4"/>
              <w:right w:val="single" w:color="D9D6CC"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SVM</w:t>
            </w:r>
          </w:p>
        </w:tc>
        <w:tc>
          <w:tcPr>
            <w:tcW w:type="dxa" w:w="1480"/>
            <w:tcBorders>
              <w:top w:val="single" w:color="D9D6CC" w:sz="4"/>
              <w:left w:val="single" w:color="D9D6CC" w:sz="4"/>
              <w:bottom w:val="single" w:color="D9D6CC" w:sz="4"/>
              <w:right w:val="single" w:color="D9D6CC" w:sz="4"/>
            </w:tcBorders>
            <w:shd w:fill="FFFFFF" w:color="auto" w:val="clear"/>
            <w:tcMar>
              <w:top w:type="dxa" w:w="90"/>
              <w:left w:type="dxa" w:w="120"/>
              <w:bottom w:type="dxa" w:w="90"/>
              <w:right w:type="dxa" w:w="120"/>
            </w:tcMar>
            <w:vAlign w:val="center"/>
          </w:tcPr>
          <w:p>
            <w:pPr>
              <w:jc w:val="center"/>
            </w:pPr>
            <w:r>
              <w:rPr>
                <w:rFonts w:ascii="Calibri" w:cs="Calibri" w:eastAsia="Calibri" w:hAnsi="Calibri"/>
                <w:b w:val="false"/>
                <w:bCs w:val="false"/>
                <w:color w:val="2B2B2B"/>
                <w:sz w:val="19"/>
                <w:szCs w:val="19"/>
              </w:rPr>
              <w:t xml:space="preserve">72.7%</w:t>
            </w:r>
          </w:p>
        </w:tc>
        <w:tc>
          <w:tcPr>
            <w:tcW w:type="dxa" w:w="1480"/>
            <w:tcBorders>
              <w:top w:val="single" w:color="D9D6CC" w:sz="4"/>
              <w:left w:val="single" w:color="D9D6CC" w:sz="4"/>
              <w:bottom w:val="single" w:color="D9D6CC" w:sz="4"/>
              <w:right w:val="single" w:color="D9D6CC" w:sz="4"/>
            </w:tcBorders>
            <w:shd w:fill="FFFFFF" w:color="auto" w:val="clear"/>
            <w:tcMar>
              <w:top w:type="dxa" w:w="90"/>
              <w:left w:type="dxa" w:w="120"/>
              <w:bottom w:type="dxa" w:w="90"/>
              <w:right w:type="dxa" w:w="120"/>
            </w:tcMar>
            <w:vAlign w:val="center"/>
          </w:tcPr>
          <w:p>
            <w:pPr>
              <w:jc w:val="center"/>
            </w:pPr>
            <w:r>
              <w:rPr>
                <w:rFonts w:ascii="Calibri" w:cs="Calibri" w:eastAsia="Calibri" w:hAnsi="Calibri"/>
                <w:b w:val="false"/>
                <w:bCs w:val="false"/>
                <w:color w:val="2B2B2B"/>
                <w:sz w:val="19"/>
                <w:szCs w:val="19"/>
              </w:rPr>
              <w:t xml:space="preserve">0.0%</w:t>
            </w:r>
          </w:p>
        </w:tc>
        <w:tc>
          <w:tcPr>
            <w:tcW w:type="dxa" w:w="1280"/>
            <w:tcBorders>
              <w:top w:val="single" w:color="D9D6CC" w:sz="4"/>
              <w:left w:val="single" w:color="D9D6CC" w:sz="4"/>
              <w:bottom w:val="single" w:color="D9D6CC" w:sz="4"/>
              <w:right w:val="single" w:color="D9D6CC" w:sz="4"/>
            </w:tcBorders>
            <w:shd w:fill="FFFFFF" w:color="auto" w:val="clear"/>
            <w:tcMar>
              <w:top w:type="dxa" w:w="90"/>
              <w:left w:type="dxa" w:w="120"/>
              <w:bottom w:type="dxa" w:w="90"/>
              <w:right w:type="dxa" w:w="120"/>
            </w:tcMar>
            <w:vAlign w:val="center"/>
          </w:tcPr>
          <w:p>
            <w:pPr>
              <w:jc w:val="center"/>
            </w:pPr>
            <w:r>
              <w:rPr>
                <w:rFonts w:ascii="Calibri" w:cs="Calibri" w:eastAsia="Calibri" w:hAnsi="Calibri"/>
                <w:b w:val="false"/>
                <w:bCs w:val="false"/>
                <w:color w:val="2B2B2B"/>
                <w:sz w:val="19"/>
                <w:szCs w:val="19"/>
              </w:rPr>
              <w:t xml:space="preserve">0.0%</w:t>
            </w:r>
          </w:p>
        </w:tc>
        <w:tc>
          <w:tcPr>
            <w:tcW w:type="dxa" w:w="1380"/>
            <w:tcBorders>
              <w:top w:val="single" w:color="D9D6CC" w:sz="4"/>
              <w:left w:val="single" w:color="D9D6CC" w:sz="4"/>
              <w:bottom w:val="single" w:color="D9D6CC" w:sz="4"/>
              <w:right w:val="single" w:color="D9D6CC" w:sz="4"/>
            </w:tcBorders>
            <w:shd w:fill="FFFFFF" w:color="auto" w:val="clear"/>
            <w:tcMar>
              <w:top w:type="dxa" w:w="90"/>
              <w:left w:type="dxa" w:w="120"/>
              <w:bottom w:type="dxa" w:w="90"/>
              <w:right w:type="dxa" w:w="120"/>
            </w:tcMar>
            <w:vAlign w:val="center"/>
          </w:tcPr>
          <w:p>
            <w:pPr>
              <w:jc w:val="center"/>
            </w:pPr>
            <w:r>
              <w:rPr>
                <w:rFonts w:ascii="Calibri" w:cs="Calibri" w:eastAsia="Calibri" w:hAnsi="Calibri"/>
                <w:b w:val="false"/>
                <w:bCs w:val="false"/>
                <w:color w:val="2B2B2B"/>
                <w:sz w:val="19"/>
                <w:szCs w:val="19"/>
              </w:rPr>
              <w:t xml:space="preserve">0.0%</w:t>
            </w:r>
          </w:p>
        </w:tc>
        <w:tc>
          <w:tcPr>
            <w:tcW w:type="dxa" w:w="1380"/>
            <w:tcBorders>
              <w:top w:val="single" w:color="D9D6CC" w:sz="4"/>
              <w:left w:val="single" w:color="D9D6CC" w:sz="4"/>
              <w:bottom w:val="single" w:color="D9D6CC" w:sz="4"/>
              <w:right w:val="single" w:color="D9D6CC" w:sz="4"/>
            </w:tcBorders>
            <w:shd w:fill="FFFFFF" w:color="auto" w:val="clear"/>
            <w:tcMar>
              <w:top w:type="dxa" w:w="90"/>
              <w:left w:type="dxa" w:w="120"/>
              <w:bottom w:type="dxa" w:w="90"/>
              <w:right w:type="dxa" w:w="120"/>
            </w:tcMar>
            <w:vAlign w:val="center"/>
          </w:tcPr>
          <w:p>
            <w:pPr>
              <w:jc w:val="center"/>
            </w:pPr>
            <w:r>
              <w:rPr>
                <w:rFonts w:ascii="Calibri" w:cs="Calibri" w:eastAsia="Calibri" w:hAnsi="Calibri"/>
                <w:b w:val="false"/>
                <w:bCs w:val="false"/>
                <w:color w:val="2B2B2B"/>
                <w:sz w:val="19"/>
                <w:szCs w:val="19"/>
              </w:rPr>
              <w:t xml:space="preserve">0.4492</w:t>
            </w:r>
          </w:p>
        </w:tc>
      </w:tr>
    </w:tbl>
    <w:p>
      <w:pPr>
        <w:spacing w:after="140"/>
      </w:pPr>
    </w:p>
    <w:p>
      <w:pPr>
        <w:spacing w:after="160" w:before="120"/>
        <w:jc w:val="center"/>
      </w:pPr>
      <w:r>
        <w:drawing>
          <wp:inline distT="0" distB="0" distL="0" distR="0">
            <wp:extent cx="60960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362325"/>
                    </a:xfrm>
                    <a:prstGeom prst="rect">
                      <a:avLst/>
                    </a:prstGeom>
                  </pic:spPr>
                </pic:pic>
              </a:graphicData>
            </a:graphic>
          </wp:inline>
        </w:drawing>
      </w:r>
    </w:p>
    <w:p>
      <w:pPr>
        <w:spacing w:after="160" w:before="120"/>
        <w:jc w:val="center"/>
      </w:pPr>
      <w:r>
        <w:drawing>
          <wp:inline distT="0" distB="0" distL="0" distR="0">
            <wp:extent cx="5905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200400"/>
                    </a:xfrm>
                    <a:prstGeom prst="rect">
                      <a:avLst/>
                    </a:prstGeom>
                  </pic:spPr>
                </pic:pic>
              </a:graphicData>
            </a:graphic>
          </wp:inline>
        </w:drawing>
      </w:r>
    </w:p>
    <w:p>
      <w:pPr>
        <w:spacing w:after="160" w:line="276"/>
      </w:pPr>
      <w:r>
        <w:rPr>
          <w:rFonts w:ascii="Calibri" w:cs="Calibri" w:eastAsia="Calibri" w:hAnsi="Calibri"/>
          <w:color w:val="2B2B2B"/>
          <w:sz w:val="21"/>
          <w:szCs w:val="21"/>
        </w:rPr>
        <w:t xml:space="preserve">Although Gradient Boosting and SVM matched or slightly exceeded Logistic Regression's accuracy, their recall was almost zero — in practical terms, they mostly classified customers as likely to stay and rarely identified actual churners. Logistic Regression had the best ROC-AUC (0.6245), so it provided the most useful overall ranking of churn risk. Its precision of 33.3% means roughly one in three flagged customers actually churned; its recall of 1.1% means it missed nearly all customers who did churn — the primary limitation of the work.</w:t>
      </w:r>
    </w:p>
    <w:tbl>
      <w:tblPr>
        <w:tblW w:type="dxa" w:w="10000"/>
        <w:tblBorders>
          <w:top w:val="none" w:color="FFFFFF" w:sz="0"/>
          <w:left w:val="single" w:color="B84A3E" w:sz="24"/>
          <w:bottom w:val="none" w:color="FFFFFF" w:sz="0"/>
          <w:right w:val="none" w:color="FFFFFF" w:sz="0"/>
          <w:insideH w:val="single" w:color="auto" w:sz="4"/>
          <w:insideV w:val="single" w:color="auto" w:sz="4"/>
        </w:tblBorders>
        <w:tblLayout w:type="fixed"/>
      </w:tblPr>
      <w:tblGrid>
        <w:gridCol w:w="10000"/>
      </w:tblGrid>
      <w:tr>
        <w:tc>
          <w:tcPr>
            <w:tcW w:type="dxa" w:w="10000"/>
            <w:tcBorders>
              <w:top w:val="none" w:color="FFFFFF" w:sz="0"/>
              <w:left w:val="single" w:color="B84A3E" w:sz="24"/>
              <w:bottom w:val="none" w:color="FFFFFF" w:sz="0"/>
              <w:right w:val="none" w:color="FFFFFF" w:sz="0"/>
            </w:tcBorders>
            <w:shd w:fill="FBEBE8" w:color="auto" w:val="clear"/>
            <w:tcMar>
              <w:top w:type="dxa" w:w="180"/>
              <w:left w:type="dxa" w:w="260"/>
              <w:bottom w:type="dxa" w:w="180"/>
              <w:right w:type="dxa" w:w="260"/>
            </w:tcMar>
          </w:tcPr>
          <w:p>
            <w:pPr>
              <w:spacing w:after="60"/>
            </w:pPr>
            <w:r>
              <w:rPr>
                <w:rFonts w:ascii="Calibri" w:cs="Calibri" w:eastAsia="Calibri" w:hAnsi="Calibri"/>
                <w:b/>
                <w:bCs/>
                <w:color w:val="0E2338"/>
                <w:sz w:val="20"/>
                <w:szCs w:val="20"/>
              </w:rPr>
              <w:t xml:space="preserve">Test-set outcome</w:t>
            </w:r>
          </w:p>
          <w:p>
            <w:pPr>
              <w:spacing w:after="0" w:line="264"/>
            </w:pPr>
            <w:r>
              <w:rPr>
                <w:rFonts w:ascii="Calibri" w:cs="Calibri" w:eastAsia="Calibri" w:hAnsi="Calibri"/>
                <w:color w:val="3A3A3A"/>
                <w:sz w:val="20"/>
                <w:szCs w:val="20"/>
              </w:rPr>
              <w:t xml:space="preserve">The final model identified 18 customers as at risk in the test set, with 6 correct churn identifications and 12 false alarms. This may help target a very small outreach list, but it cannot be used as a comprehensive churn-detection system without improvement.</w:t>
            </w:r>
          </w:p>
        </w:tc>
      </w:tr>
    </w:tbl>
    <w:p>
      <w:pPr>
        <w:spacing w:after="160" w:before="120"/>
        <w:jc w:val="center"/>
      </w:pPr>
      <w:r>
        <w:drawing>
          <wp:inline distT="0" distB="0" distL="0" distR="0">
            <wp:extent cx="5334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790825"/>
                    </a:xfrm>
                    <a:prstGeom prst="rect">
                      <a:avLst/>
                    </a:prstGeom>
                  </pic:spPr>
                </pic:pic>
              </a:graphicData>
            </a:graphic>
          </wp:inline>
        </w:drawing>
      </w:r>
    </w:p>
    <w:p>
      <w:r>
        <w:br w:type="page"/>
      </w:r>
    </w:p>
    <w:p>
      <w:pPr>
        <w:spacing w:after="100" w:before="220"/>
      </w:pPr>
      <w:r>
        <w:rPr>
          <w:rFonts w:ascii="Calibri" w:cs="Calibri" w:eastAsia="Calibri" w:hAnsi="Calibri"/>
          <w:b/>
          <w:bCs/>
          <w:color w:val="2E7D7D"/>
          <w:sz w:val="22"/>
          <w:szCs w:val="22"/>
        </w:rPr>
        <w:t xml:space="preserve">Explainable AI Findings</w:t>
      </w:r>
    </w:p>
    <w:p>
      <w:pPr>
        <w:spacing w:after="160" w:line="276"/>
      </w:pPr>
      <w:r>
        <w:rPr>
          <w:rFonts w:ascii="Calibri" w:cs="Calibri" w:eastAsia="Calibri" w:hAnsi="Calibri"/>
          <w:color w:val="2B2B2B"/>
          <w:sz w:val="21"/>
          <w:szCs w:val="21"/>
        </w:rPr>
        <w:t xml:space="preserve">The five highest average SHAP importance values were:</w:t>
      </w:r>
    </w:p>
    <w:p>
      <w:pPr>
        <w:spacing w:after="160" w:before="120"/>
        <w:jc w:val="center"/>
      </w:pPr>
      <w:r>
        <w:drawing>
          <wp:inline distT="0" distB="0" distL="0" distR="0">
            <wp:extent cx="590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048000"/>
                    </a:xfrm>
                    <a:prstGeom prst="rect">
                      <a:avLst/>
                    </a:prstGeom>
                  </pic:spPr>
                </pic:pic>
              </a:graphicData>
            </a:graphic>
          </wp:inline>
        </w:drawing>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300"/>
        <w:gridCol w:w="5900"/>
      </w:tblGrid>
      <w:tr>
        <w:trPr>
          <w:tblHeader/>
        </w:trPr>
        <w:tc>
          <w:tcPr>
            <w:tcW w:type="dxa" w:w="2400"/>
            <w:tcBorders>
              <w:top w:val="single" w:color="0E2338" w:sz="4"/>
              <w:left w:val="single" w:color="0E2338" w:sz="4"/>
              <w:bottom w:val="single" w:color="0E2338" w:sz="4"/>
              <w:right w:val="single" w:color="0E2338" w:sz="4"/>
            </w:tcBorders>
            <w:shd w:fill="0E2338"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Feature</w:t>
            </w:r>
          </w:p>
        </w:tc>
        <w:tc>
          <w:tcPr>
            <w:tcW w:type="dxa" w:w="1300"/>
            <w:tcBorders>
              <w:top w:val="single" w:color="0E2338" w:sz="4"/>
              <w:left w:val="single" w:color="0E2338" w:sz="4"/>
              <w:bottom w:val="single" w:color="0E2338" w:sz="4"/>
              <w:right w:val="single" w:color="0E2338" w:sz="4"/>
            </w:tcBorders>
            <w:shd w:fill="0E2338"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Mean |SHAP|</w:t>
            </w:r>
          </w:p>
        </w:tc>
        <w:tc>
          <w:tcPr>
            <w:tcW w:type="dxa" w:w="5900"/>
            <w:tcBorders>
              <w:top w:val="single" w:color="0E2338" w:sz="4"/>
              <w:left w:val="single" w:color="0E2338" w:sz="4"/>
              <w:bottom w:val="single" w:color="0E2338" w:sz="4"/>
              <w:right w:val="single" w:color="0E2338" w:sz="4"/>
            </w:tcBorders>
            <w:shd w:fill="0E2338"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Interpretation</w:t>
            </w:r>
          </w:p>
        </w:tc>
      </w:tr>
      <w:tr>
        <w:tc>
          <w:tcPr>
            <w:tcW w:type="dxa" w:w="2400"/>
            <w:tcBorders>
              <w:top w:val="single" w:color="D9D6CC" w:sz="4"/>
              <w:left w:val="single" w:color="D9D6CC" w:sz="4"/>
              <w:bottom w:val="single" w:color="D9D6CC" w:sz="4"/>
              <w:right w:val="single" w:color="D9D6CC"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Account tenure (months)</w:t>
            </w:r>
          </w:p>
        </w:tc>
        <w:tc>
          <w:tcPr>
            <w:tcW w:type="dxa" w:w="1300"/>
            <w:tcBorders>
              <w:top w:val="single" w:color="D9D6CC" w:sz="4"/>
              <w:left w:val="single" w:color="D9D6CC" w:sz="4"/>
              <w:bottom w:val="single" w:color="D9D6CC" w:sz="4"/>
              <w:right w:val="single" w:color="D9D6CC" w:sz="4"/>
            </w:tcBorders>
            <w:shd w:fill="FFFFFF" w:color="auto" w:val="clear"/>
            <w:tcMar>
              <w:top w:type="dxa" w:w="90"/>
              <w:left w:type="dxa" w:w="120"/>
              <w:bottom w:type="dxa" w:w="90"/>
              <w:right w:type="dxa" w:w="120"/>
            </w:tcMar>
            <w:vAlign w:val="center"/>
          </w:tcPr>
          <w:p>
            <w:pPr>
              <w:jc w:val="center"/>
            </w:pPr>
            <w:r>
              <w:rPr>
                <w:rFonts w:ascii="Calibri" w:cs="Calibri" w:eastAsia="Calibri" w:hAnsi="Calibri"/>
                <w:b w:val="false"/>
                <w:bCs w:val="false"/>
                <w:color w:val="2B2B2B"/>
                <w:sz w:val="19"/>
                <w:szCs w:val="19"/>
              </w:rPr>
              <w:t xml:space="preserve">0.1456</w:t>
            </w:r>
          </w:p>
        </w:tc>
        <w:tc>
          <w:tcPr>
            <w:tcW w:type="dxa" w:w="5900"/>
            <w:tcBorders>
              <w:top w:val="single" w:color="D9D6CC" w:sz="4"/>
              <w:left w:val="single" w:color="D9D6CC" w:sz="4"/>
              <w:bottom w:val="single" w:color="D9D6CC" w:sz="4"/>
              <w:right w:val="single" w:color="D9D6CC"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Strongest driver of changes in model predictions across customers.</w:t>
            </w:r>
          </w:p>
        </w:tc>
      </w:tr>
      <w:tr>
        <w:tc>
          <w:tcPr>
            <w:tcW w:type="dxa" w:w="2400"/>
            <w:tcBorders>
              <w:top w:val="single" w:color="D9D6CC" w:sz="4"/>
              <w:left w:val="single" w:color="D9D6CC" w:sz="4"/>
              <w:bottom w:val="single" w:color="D9D6CC" w:sz="4"/>
              <w:right w:val="single" w:color="D9D6CC" w:sz="4"/>
            </w:tcBorders>
            <w:shd w:fill="F3F1EA"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Customer value score</w:t>
            </w:r>
          </w:p>
        </w:tc>
        <w:tc>
          <w:tcPr>
            <w:tcW w:type="dxa" w:w="1300"/>
            <w:tcBorders>
              <w:top w:val="single" w:color="D9D6CC" w:sz="4"/>
              <w:left w:val="single" w:color="D9D6CC" w:sz="4"/>
              <w:bottom w:val="single" w:color="D9D6CC" w:sz="4"/>
              <w:right w:val="single" w:color="D9D6CC" w:sz="4"/>
            </w:tcBorders>
            <w:shd w:fill="F3F1EA" w:color="auto" w:val="clear"/>
            <w:tcMar>
              <w:top w:type="dxa" w:w="90"/>
              <w:left w:type="dxa" w:w="120"/>
              <w:bottom w:type="dxa" w:w="90"/>
              <w:right w:type="dxa" w:w="120"/>
            </w:tcMar>
            <w:vAlign w:val="center"/>
          </w:tcPr>
          <w:p>
            <w:pPr>
              <w:jc w:val="center"/>
            </w:pPr>
            <w:r>
              <w:rPr>
                <w:rFonts w:ascii="Calibri" w:cs="Calibri" w:eastAsia="Calibri" w:hAnsi="Calibri"/>
                <w:b w:val="false"/>
                <w:bCs w:val="false"/>
                <w:color w:val="2B2B2B"/>
                <w:sz w:val="19"/>
                <w:szCs w:val="19"/>
              </w:rPr>
              <w:t xml:space="preserve">0.1221</w:t>
            </w:r>
          </w:p>
        </w:tc>
        <w:tc>
          <w:tcPr>
            <w:tcW w:type="dxa" w:w="5900"/>
            <w:tcBorders>
              <w:top w:val="single" w:color="D9D6CC" w:sz="4"/>
              <w:left w:val="single" w:color="D9D6CC" w:sz="4"/>
              <w:bottom w:val="single" w:color="D9D6CC" w:sz="4"/>
              <w:right w:val="single" w:color="D9D6CC" w:sz="4"/>
            </w:tcBorders>
            <w:shd w:fill="F3F1EA"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The combined value measure materially changed predicted risk.</w:t>
            </w:r>
          </w:p>
        </w:tc>
      </w:tr>
      <w:tr>
        <w:tc>
          <w:tcPr>
            <w:tcW w:type="dxa" w:w="2400"/>
            <w:tcBorders>
              <w:top w:val="single" w:color="D9D6CC" w:sz="4"/>
              <w:left w:val="single" w:color="D9D6CC" w:sz="4"/>
              <w:bottom w:val="single" w:color="D9D6CC" w:sz="4"/>
              <w:right w:val="single" w:color="D9D6CC"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Email subscription</w:t>
            </w:r>
          </w:p>
        </w:tc>
        <w:tc>
          <w:tcPr>
            <w:tcW w:type="dxa" w:w="1300"/>
            <w:tcBorders>
              <w:top w:val="single" w:color="D9D6CC" w:sz="4"/>
              <w:left w:val="single" w:color="D9D6CC" w:sz="4"/>
              <w:bottom w:val="single" w:color="D9D6CC" w:sz="4"/>
              <w:right w:val="single" w:color="D9D6CC" w:sz="4"/>
            </w:tcBorders>
            <w:shd w:fill="FFFFFF" w:color="auto" w:val="clear"/>
            <w:tcMar>
              <w:top w:type="dxa" w:w="90"/>
              <w:left w:type="dxa" w:w="120"/>
              <w:bottom w:type="dxa" w:w="90"/>
              <w:right w:type="dxa" w:w="120"/>
            </w:tcMar>
            <w:vAlign w:val="center"/>
          </w:tcPr>
          <w:p>
            <w:pPr>
              <w:jc w:val="center"/>
            </w:pPr>
            <w:r>
              <w:rPr>
                <w:rFonts w:ascii="Calibri" w:cs="Calibri" w:eastAsia="Calibri" w:hAnsi="Calibri"/>
                <w:b w:val="false"/>
                <w:bCs w:val="false"/>
                <w:color w:val="2B2B2B"/>
                <w:sz w:val="19"/>
                <w:szCs w:val="19"/>
              </w:rPr>
              <w:t xml:space="preserve">0.0705</w:t>
            </w:r>
          </w:p>
        </w:tc>
        <w:tc>
          <w:tcPr>
            <w:tcW w:type="dxa" w:w="5900"/>
            <w:tcBorders>
              <w:top w:val="single" w:color="D9D6CC" w:sz="4"/>
              <w:left w:val="single" w:color="D9D6CC" w:sz="4"/>
              <w:bottom w:val="single" w:color="D9D6CC" w:sz="4"/>
              <w:right w:val="single" w:color="D9D6CC"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Email engagement helped distinguish customers with different churn risk.</w:t>
            </w:r>
          </w:p>
        </w:tc>
      </w:tr>
      <w:tr>
        <w:tc>
          <w:tcPr>
            <w:tcW w:type="dxa" w:w="2400"/>
            <w:tcBorders>
              <w:top w:val="single" w:color="D9D6CC" w:sz="4"/>
              <w:left w:val="single" w:color="D9D6CC" w:sz="4"/>
              <w:bottom w:val="single" w:color="D9D6CC" w:sz="4"/>
              <w:right w:val="single" w:color="D9D6CC" w:sz="4"/>
            </w:tcBorders>
            <w:shd w:fill="F3F1EA"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Support calls</w:t>
            </w:r>
          </w:p>
        </w:tc>
        <w:tc>
          <w:tcPr>
            <w:tcW w:type="dxa" w:w="1300"/>
            <w:tcBorders>
              <w:top w:val="single" w:color="D9D6CC" w:sz="4"/>
              <w:left w:val="single" w:color="D9D6CC" w:sz="4"/>
              <w:bottom w:val="single" w:color="D9D6CC" w:sz="4"/>
              <w:right w:val="single" w:color="D9D6CC" w:sz="4"/>
            </w:tcBorders>
            <w:shd w:fill="F3F1EA" w:color="auto" w:val="clear"/>
            <w:tcMar>
              <w:top w:type="dxa" w:w="90"/>
              <w:left w:type="dxa" w:w="120"/>
              <w:bottom w:type="dxa" w:w="90"/>
              <w:right w:type="dxa" w:w="120"/>
            </w:tcMar>
            <w:vAlign w:val="center"/>
          </w:tcPr>
          <w:p>
            <w:pPr>
              <w:jc w:val="center"/>
            </w:pPr>
            <w:r>
              <w:rPr>
                <w:rFonts w:ascii="Calibri" w:cs="Calibri" w:eastAsia="Calibri" w:hAnsi="Calibri"/>
                <w:b w:val="false"/>
                <w:bCs w:val="false"/>
                <w:color w:val="2B2B2B"/>
                <w:sz w:val="19"/>
                <w:szCs w:val="19"/>
              </w:rPr>
              <w:t xml:space="preserve">0.0464</w:t>
            </w:r>
          </w:p>
        </w:tc>
        <w:tc>
          <w:tcPr>
            <w:tcW w:type="dxa" w:w="5900"/>
            <w:tcBorders>
              <w:top w:val="single" w:color="D9D6CC" w:sz="4"/>
              <w:left w:val="single" w:color="D9D6CC" w:sz="4"/>
              <w:bottom w:val="single" w:color="D9D6CC" w:sz="4"/>
              <w:right w:val="single" w:color="D9D6CC" w:sz="4"/>
            </w:tcBorders>
            <w:shd w:fill="F3F1EA"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Frequent support contact was a meaningful warning signal.</w:t>
            </w:r>
          </w:p>
        </w:tc>
      </w:tr>
      <w:tr>
        <w:tc>
          <w:tcPr>
            <w:tcW w:type="dxa" w:w="2400"/>
            <w:tcBorders>
              <w:top w:val="single" w:color="D9D6CC" w:sz="4"/>
              <w:left w:val="single" w:color="D9D6CC" w:sz="4"/>
              <w:bottom w:val="single" w:color="D9D6CC" w:sz="4"/>
              <w:right w:val="single" w:color="D9D6CC"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Number of complaints</w:t>
            </w:r>
          </w:p>
        </w:tc>
        <w:tc>
          <w:tcPr>
            <w:tcW w:type="dxa" w:w="1300"/>
            <w:tcBorders>
              <w:top w:val="single" w:color="D9D6CC" w:sz="4"/>
              <w:left w:val="single" w:color="D9D6CC" w:sz="4"/>
              <w:bottom w:val="single" w:color="D9D6CC" w:sz="4"/>
              <w:right w:val="single" w:color="D9D6CC" w:sz="4"/>
            </w:tcBorders>
            <w:shd w:fill="FFFFFF" w:color="auto" w:val="clear"/>
            <w:tcMar>
              <w:top w:type="dxa" w:w="90"/>
              <w:left w:type="dxa" w:w="120"/>
              <w:bottom w:type="dxa" w:w="90"/>
              <w:right w:type="dxa" w:w="120"/>
            </w:tcMar>
            <w:vAlign w:val="center"/>
          </w:tcPr>
          <w:p>
            <w:pPr>
              <w:jc w:val="center"/>
            </w:pPr>
            <w:r>
              <w:rPr>
                <w:rFonts w:ascii="Calibri" w:cs="Calibri" w:eastAsia="Calibri" w:hAnsi="Calibri"/>
                <w:b w:val="false"/>
                <w:bCs w:val="false"/>
                <w:color w:val="2B2B2B"/>
                <w:sz w:val="19"/>
                <w:szCs w:val="19"/>
              </w:rPr>
              <w:t xml:space="preserve">0.0411</w:t>
            </w:r>
          </w:p>
        </w:tc>
        <w:tc>
          <w:tcPr>
            <w:tcW w:type="dxa" w:w="5900"/>
            <w:tcBorders>
              <w:top w:val="single" w:color="D9D6CC" w:sz="4"/>
              <w:left w:val="single" w:color="D9D6CC" w:sz="4"/>
              <w:bottom w:val="single" w:color="D9D6CC" w:sz="4"/>
              <w:right w:val="single" w:color="D9D6CC"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More complaints contributed to higher predicted churn risk.</w:t>
            </w:r>
          </w:p>
        </w:tc>
      </w:tr>
    </w:tbl>
    <w:p>
      <w:pPr>
        <w:spacing w:after="140"/>
      </w:pPr>
    </w:p>
    <w:p>
      <w:pPr>
        <w:spacing w:after="160" w:line="276"/>
      </w:pPr>
      <w:r>
        <w:rPr>
          <w:rFonts w:ascii="Calibri" w:cs="Calibri" w:eastAsia="Calibri" w:hAnsi="Calibri"/>
          <w:color w:val="2B2B2B"/>
          <w:sz w:val="21"/>
          <w:szCs w:val="21"/>
        </w:rPr>
        <w:t xml:space="preserve">SHAP values show how much each feature moves an individual prediction away from the model's baseline. A larger absolute value means that feature had more influence; it does not by itself prove that the feature caused churn. The individual example examined in Task 5 had a churn probability of 50.55%, meaning the model regarded that customer as almost equally likely to churn as to stay. Account tenure, risk profile, customer value score, complaints, and support calls were the largest influences for that customer.</w:t>
      </w:r>
    </w:p>
    <w:p>
      <w:pPr>
        <w:spacing w:after="120"/>
      </w:pPr>
    </w:p>
    <w:p>
      <w:pPr>
        <w:pBdr>
          <w:bottom w:val="single" w:color="C9A24B" w:sz="10" w:space="6"/>
        </w:pBdr>
        <w:spacing w:after="160" w:before="380"/>
      </w:pPr>
      <w:r>
        <w:rPr>
          <w:rFonts w:ascii="Calibri" w:cs="Calibri" w:eastAsia="Calibri" w:hAnsi="Calibri"/>
          <w:b/>
          <w:bCs/>
          <w:color w:val="C9A24B"/>
          <w:sz w:val="27"/>
          <w:szCs w:val="27"/>
        </w:rPr>
        <w:t xml:space="preserve">05  </w:t>
      </w:r>
      <w:r>
        <w:rPr>
          <w:rFonts w:ascii="Calibri" w:cs="Calibri" w:eastAsia="Calibri" w:hAnsi="Calibri"/>
          <w:b/>
          <w:bCs/>
          <w:color w:val="0E2338"/>
          <w:sz w:val="27"/>
          <w:szCs w:val="27"/>
        </w:rPr>
        <w:t xml:space="preserve">Conclusion</w:t>
      </w:r>
    </w:p>
    <w:p>
      <w:pPr>
        <w:spacing w:after="160" w:line="276"/>
      </w:pPr>
      <w:r>
        <w:rPr>
          <w:rFonts w:ascii="Calibri" w:cs="Calibri" w:eastAsia="Calibri" w:hAnsi="Calibri"/>
          <w:color w:val="2B2B2B"/>
          <w:sz w:val="21"/>
          <w:szCs w:val="21"/>
        </w:rPr>
        <w:t xml:space="preserve">The project successfully converted a raw churn dataset into a cleaned, analysed, modelled, explained, and deployable solution. The analysis consistently points to service friction, low engagement, complaints, and weaker customer relationships as important churn signals. The final Logistic Regression model offers modest risk-ranking ability and is transparent enough for stakeholders to interpret.</w:t>
      </w:r>
    </w:p>
    <w:p>
      <w:pPr>
        <w:spacing w:after="160" w:line="276"/>
      </w:pPr>
      <w:r>
        <w:rPr>
          <w:rFonts w:ascii="Calibri" w:cs="Calibri" w:eastAsia="Calibri" w:hAnsi="Calibri"/>
          <w:color w:val="2B2B2B"/>
          <w:sz w:val="21"/>
          <w:szCs w:val="21"/>
        </w:rPr>
        <w:t xml:space="preserve">The 72.4% accuracy should not be interpreted as strong churn detection. Because only 1.1% of actual churners were found, the current model misses most customers who leave. Its best role is to support exploratory analysis, help prioritise a small high-risk list, and guide retention strategy while a stronger model and decision threshold are developed.</w:t>
      </w:r>
    </w:p>
    <w:p>
      <w:pPr>
        <w:spacing w:after="120"/>
      </w:pPr>
    </w:p>
    <w:p>
      <w:pPr>
        <w:pBdr>
          <w:bottom w:val="single" w:color="C9A24B" w:sz="10" w:space="6"/>
        </w:pBdr>
        <w:spacing w:after="160" w:before="380"/>
      </w:pPr>
      <w:r>
        <w:rPr>
          <w:rFonts w:ascii="Calibri" w:cs="Calibri" w:eastAsia="Calibri" w:hAnsi="Calibri"/>
          <w:b/>
          <w:bCs/>
          <w:color w:val="C9A24B"/>
          <w:sz w:val="27"/>
          <w:szCs w:val="27"/>
        </w:rPr>
        <w:t xml:space="preserve">06  </w:t>
      </w:r>
      <w:r>
        <w:rPr>
          <w:rFonts w:ascii="Calibri" w:cs="Calibri" w:eastAsia="Calibri" w:hAnsi="Calibri"/>
          <w:b/>
          <w:bCs/>
          <w:color w:val="0E2338"/>
          <w:sz w:val="27"/>
          <w:szCs w:val="27"/>
        </w:rPr>
        <w:t xml:space="preserve">Recommendations</w:t>
      </w:r>
    </w:p>
    <w:p>
      <w:pPr>
        <w:pStyle w:val="ListParagraph"/>
        <w:numPr>
          <w:ilvl w:val="0"/>
          <w:numId w:val="3"/>
        </w:numPr>
        <w:spacing w:after="130" w:line="268"/>
      </w:pPr>
      <w:r>
        <w:rPr>
          <w:rFonts w:ascii="Calibri" w:cs="Calibri" w:eastAsia="Calibri" w:hAnsi="Calibri"/>
          <w:color w:val="2B2B2B"/>
          <w:sz w:val="21"/>
          <w:szCs w:val="21"/>
        </w:rPr>
        <w:t xml:space="preserve">Improve first-contact resolution. Proactively review customers with repeated support calls or complaints — these signals were consistently associated with elevated churn risk.</w:t>
      </w:r>
    </w:p>
    <w:p>
      <w:pPr>
        <w:pStyle w:val="ListParagraph"/>
        <w:numPr>
          <w:ilvl w:val="0"/>
          <w:numId w:val="3"/>
        </w:numPr>
        <w:spacing w:after="130" w:line="268"/>
      </w:pPr>
      <w:r>
        <w:rPr>
          <w:rFonts w:ascii="Calibri" w:cs="Calibri" w:eastAsia="Calibri" w:hAnsi="Calibri"/>
          <w:color w:val="2B2B2B"/>
          <w:sz w:val="21"/>
          <w:szCs w:val="21"/>
        </w:rPr>
        <w:t xml:space="preserve">Build engagement programmes. Target low-engagement customers with relevant digital-banking, transaction, and product-adoption campaigns; this segment is large and has the highest observed churn rate.</w:t>
      </w:r>
    </w:p>
    <w:p>
      <w:pPr>
        <w:pStyle w:val="ListParagraph"/>
        <w:numPr>
          <w:ilvl w:val="0"/>
          <w:numId w:val="3"/>
        </w:numPr>
        <w:spacing w:after="130" w:line="268"/>
      </w:pPr>
      <w:r>
        <w:rPr>
          <w:rFonts w:ascii="Calibri" w:cs="Calibri" w:eastAsia="Calibri" w:hAnsi="Calibri"/>
          <w:color w:val="2B2B2B"/>
          <w:sz w:val="21"/>
          <w:szCs w:val="21"/>
        </w:rPr>
        <w:t xml:space="preserve">Use targeted retention offers. Combine churn risk with customer value and service history rather than treating every predicted risk the same — high-value customers with complaints should receive fast, personalised follow-up.</w:t>
      </w:r>
    </w:p>
    <w:p>
      <w:pPr>
        <w:pStyle w:val="ListParagraph"/>
        <w:numPr>
          <w:ilvl w:val="0"/>
          <w:numId w:val="3"/>
        </w:numPr>
        <w:spacing w:after="130" w:line="268"/>
      </w:pPr>
      <w:r>
        <w:rPr>
          <w:rFonts w:ascii="Calibri" w:cs="Calibri" w:eastAsia="Calibri" w:hAnsi="Calibri"/>
          <w:color w:val="2B2B2B"/>
          <w:sz w:val="21"/>
          <w:szCs w:val="21"/>
        </w:rPr>
        <w:t xml:space="preserve">Optimise the decision threshold. The default 0.50 threshold produces very low recall; test lower thresholds and quantify the trade-off between finding more churners and contacting more customers who would have stayed.</w:t>
      </w:r>
    </w:p>
    <w:p>
      <w:pPr>
        <w:pStyle w:val="ListParagraph"/>
        <w:numPr>
          <w:ilvl w:val="0"/>
          <w:numId w:val="3"/>
        </w:numPr>
        <w:spacing w:after="130" w:line="268"/>
      </w:pPr>
      <w:r>
        <w:rPr>
          <w:rFonts w:ascii="Calibri" w:cs="Calibri" w:eastAsia="Calibri" w:hAnsi="Calibri"/>
          <w:color w:val="2B2B2B"/>
          <w:sz w:val="21"/>
          <w:szCs w:val="21"/>
        </w:rPr>
        <w:t xml:space="preserve">Improve and retrain the model. Add time-based behaviour, recent changes in support activity, offer history, and reason-for-leaving data; evaluate class weighting, resampling, and tuned gradient-boosting models using recall and precision-recall metrics.</w:t>
      </w:r>
    </w:p>
    <w:p>
      <w:pPr>
        <w:pStyle w:val="ListParagraph"/>
        <w:numPr>
          <w:ilvl w:val="0"/>
          <w:numId w:val="3"/>
        </w:numPr>
        <w:spacing w:after="130" w:line="268"/>
      </w:pPr>
      <w:r>
        <w:rPr>
          <w:rFonts w:ascii="Calibri" w:cs="Calibri" w:eastAsia="Calibri" w:hAnsi="Calibri"/>
          <w:color w:val="2B2B2B"/>
          <w:sz w:val="21"/>
          <w:szCs w:val="21"/>
        </w:rPr>
        <w:t xml:space="preserve">Remove identifier leakage risk. The current deployment preserves the previous model's ID feature for reproducibility — customer IDs should be removed before the next production model is trained, since an identifier should not determine churn risk.</w:t>
      </w:r>
    </w:p>
    <w:p>
      <w:pPr>
        <w:pStyle w:val="ListParagraph"/>
        <w:numPr>
          <w:ilvl w:val="0"/>
          <w:numId w:val="3"/>
        </w:numPr>
        <w:spacing w:after="130" w:line="268"/>
      </w:pPr>
      <w:r>
        <w:rPr>
          <w:rFonts w:ascii="Calibri" w:cs="Calibri" w:eastAsia="Calibri" w:hAnsi="Calibri"/>
          <w:color w:val="2B2B2B"/>
          <w:sz w:val="21"/>
          <w:szCs w:val="21"/>
        </w:rPr>
        <w:t xml:space="preserve">Monitor intervention outcomes. Run A/B tests that compare retention actions against a control group, and track whether contact reduces actual churn, not only whether the model predicts it.</w:t>
      </w:r>
    </w:p>
    <w:p>
      <w:pPr>
        <w:pStyle w:val="ListParagraph"/>
        <w:numPr>
          <w:ilvl w:val="0"/>
          <w:numId w:val="3"/>
        </w:numPr>
        <w:spacing w:after="130" w:line="268"/>
      </w:pPr>
      <w:r>
        <w:rPr>
          <w:rFonts w:ascii="Calibri" w:cs="Calibri" w:eastAsia="Calibri" w:hAnsi="Calibri"/>
          <w:color w:val="2B2B2B"/>
          <w:sz w:val="21"/>
          <w:szCs w:val="21"/>
        </w:rPr>
        <w:t xml:space="preserve">Publish and govern the application. Deploy the Streamlit app using the included guide, restrict access to authorised staff, and monitor prediction quality and fairness before using it in customer-facing decisions.</w:t>
      </w:r>
    </w:p>
    <w:sectPr>
      <w:headerReference w:type="default" r:id="rId7"/>
      <w:footerReference w:type="default" r:id="rId8"/>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F66"/>
        <w:sz w:val="16"/>
        <w:szCs w:val="16"/>
      </w:rPr>
      <w:t xml:space="preserve">Page </w:t>
    </w:r>
    <w:r>
      <w:rPr>
        <w:rFonts w:ascii="Calibri" w:cs="Calibri" w:eastAsia="Calibri" w:hAnsi="Calibri"/>
        <w:color w:val="5A5F66"/>
        <w:sz w:val="16"/>
        <w:szCs w:val="16"/>
      </w:rPr>
      <w:fldChar w:fldCharType="begin"/>
      <w:instrText xml:space="preserve">PAGE</w:instrText>
      <w:fldChar w:fldCharType="separate"/>
      <w:fldChar w:fldCharType="end"/>
    </w:r>
    <w:r>
      <w:rPr>
        <w:rFonts w:ascii="Calibri" w:cs="Calibri" w:eastAsia="Calibri" w:hAnsi="Calibri"/>
        <w:color w:val="5A5F66"/>
        <w:sz w:val="16"/>
        <w:szCs w:val="16"/>
      </w:rPr>
      <w:t xml:space="preserve"> of </w:t>
    </w:r>
    <w:r>
      <w:rPr>
        <w:rFonts w:ascii="Calibri" w:cs="Calibri" w:eastAsia="Calibri" w:hAnsi="Calibri"/>
        <w:color w:val="5A5F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6CC" w:sz="4" w:space="4"/>
      </w:pBdr>
      <w:jc w:val="right"/>
    </w:pPr>
    <w:r>
      <w:rPr>
        <w:rFonts w:ascii="Calibri" w:cs="Calibri" w:eastAsia="Calibri" w:hAnsi="Calibri"/>
        <w:color w:val="5A5F66"/>
        <w:sz w:val="14"/>
        <w:szCs w:val="14"/>
      </w:rPr>
      <w:t xml:space="preserve">CUSTOMER CHURN DETECTION  |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color w:val="C9A24B"/>
        <w:sz w:val="16"/>
        <w:szCs w:val="16"/>
      </w:rPr>
    </w:lvl>
    <w:lvl w:ilvl="1" w15:tentative="1">
      <w:start w:val="1"/>
      <w:numFmt w:val="bullet"/>
      <w:lvlText w:val="–"/>
      <w:lvlJc w:val="left"/>
      <w:pPr>
        <w:ind w:left="620" w:hanging="220"/>
      </w:pPr>
    </w:lvl>
  </w:abstractNum>
  <w:abstractNum w:abstractNumId="3" w15:restartNumberingAfterBreak="0">
    <w:multiLevelType w:val="hybridMultilevel"/>
    <w:lvl w:ilvl="0" w15:tentative="1">
      <w:start w:val="1"/>
      <w:numFmt w:val="decimal"/>
      <w:lvlText w:val="%1."/>
      <w:lvlJc w:val="left"/>
      <w:pPr>
        <w:ind w:left="380" w:hanging="300"/>
      </w:pPr>
      <w:rPr>
        <w:b/>
        <w:bCs/>
        <w:color w:val="16324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f8362220e5a36a5e910db8dd342e9ebcbe29ff6.png"/><Relationship Id="rId10" Type="http://schemas.openxmlformats.org/officeDocument/2006/relationships/image" Target="media/ef58a1382d34eeffc8b9c3924f3516b4b11b18e6.png"/><Relationship Id="rId11" Type="http://schemas.openxmlformats.org/officeDocument/2006/relationships/image" Target="media/faec619ed968ad862535fa8a6d2d69c92081483c.png"/><Relationship Id="rId12" Type="http://schemas.openxmlformats.org/officeDocument/2006/relationships/image" Target="media/47dc820cb3c0b923cbd274de370efd2d8b2ecb64.png"/><Relationship Id="rId13" Type="http://schemas.openxmlformats.org/officeDocument/2006/relationships/image" Target="media/b017ae1f75c8136ea5b6268e51a3de6185108d79.png"/><Relationship Id="rId14" Type="http://schemas.openxmlformats.org/officeDocument/2006/relationships/image" Target="media/3df0b199624225819e582def6c6312c20808cc3f.png"/><Relationship Id="rId15" Type="http://schemas.openxmlformats.org/officeDocument/2006/relationships/image" Target="media/3629da2078276a2346c8e8d6ba3680596133f8e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2026-09-14T08:24:15.948Z</dcterms:created>
  <dcterms:modified xsi:type="dcterms:W3CDTF">2026-09-14T08:24:15.948Z</dcterms:modified>
</cp:coreProperties>
</file>

<file path=docProps/custom.xml><?xml version="1.0" encoding="utf-8"?>
<Properties xmlns="http://schemas.openxmlformats.org/officeDocument/2006/custom-properties" xmlns:vt="http://schemas.openxmlformats.org/officeDocument/2006/docPropsVTypes"/>
</file>