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微软雅黑" w:hAnsi="微软雅黑" w:eastAsia="微软雅黑"/>
          <w:b/>
          <w:i w:val="0"/>
          <w:color w:val="1F4E79"/>
          <w:sz w:val="32"/>
        </w:rPr>
        <w:t>CareAI 项目书</w:t>
      </w:r>
    </w:p>
    <w:p>
      <w:pPr>
        <w:spacing w:before="200" w:after="120"/>
      </w:pPr>
      <w:r>
        <w:rPr>
          <w:rFonts w:ascii="微软雅黑" w:hAnsi="微软雅黑" w:eastAsia="微软雅黑"/>
          <w:b/>
          <w:i w:val="0"/>
          <w:color w:val="2F5496"/>
          <w:sz w:val="26"/>
        </w:rPr>
        <w:t>一、项目基本信息</w:t>
      </w:r>
    </w:p>
    <w:p>
      <w:pPr>
        <w:spacing w:after="80" w:line="300" w:lineRule="auto"/>
      </w:pPr>
      <w:r>
        <w:rPr>
          <w:rFonts w:ascii="微软雅黑" w:hAnsi="微软雅黑" w:eastAsia="微软雅黑"/>
          <w:b w:val="0"/>
          <w:i w:val="0"/>
          <w:sz w:val="21"/>
        </w:rPr>
        <w:t>项目名称： CareAI——面向成年人的非诊断性健康风险教育与习惯管理助手</w:t>
      </w:r>
    </w:p>
    <w:p>
      <w:pPr>
        <w:spacing w:after="80" w:line="300" w:lineRule="auto"/>
      </w:pPr>
      <w:r>
        <w:rPr>
          <w:rFonts w:ascii="微软雅黑" w:hAnsi="微软雅黑" w:eastAsia="微软雅黑"/>
          <w:b w:val="0"/>
          <w:i w:val="0"/>
          <w:sz w:val="21"/>
        </w:rPr>
        <w:t>项目方向： 社会治理与公共服务（健康教育与公共健康促进）</w:t>
      </w:r>
    </w:p>
    <w:p>
      <w:pPr>
        <w:spacing w:after="80" w:line="300" w:lineRule="auto"/>
      </w:pPr>
      <w:r>
        <w:rPr>
          <w:rFonts w:ascii="微软雅黑" w:hAnsi="微软雅黑" w:eastAsia="微软雅黑"/>
          <w:b w:val="0"/>
          <w:i w:val="0"/>
          <w:sz w:val="21"/>
        </w:rPr>
        <w:t>项目阶段： 可演示的 MVP 原型；尚处于假设验证前期。</w:t>
      </w:r>
    </w:p>
    <w:p>
      <w:pPr>
        <w:spacing w:before="200" w:after="120"/>
      </w:pPr>
      <w:r>
        <w:rPr>
          <w:rFonts w:ascii="微软雅黑" w:hAnsi="微软雅黑" w:eastAsia="微软雅黑"/>
          <w:b/>
          <w:i w:val="0"/>
          <w:color w:val="2F5496"/>
          <w:sz w:val="26"/>
        </w:rPr>
        <w:t>二、项目摘要</w:t>
      </w:r>
    </w:p>
    <w:p>
      <w:pPr>
        <w:spacing w:after="80" w:line="300" w:lineRule="auto"/>
      </w:pPr>
      <w:r>
        <w:rPr>
          <w:rFonts w:ascii="微软雅黑" w:hAnsi="微软雅黑" w:eastAsia="微软雅黑"/>
          <w:b w:val="0"/>
          <w:i w:val="0"/>
          <w:sz w:val="21"/>
        </w:rPr>
        <w:t>CareAI 是一款面向成年人的健康教育与日常习惯管理工具。用户自主录入身高、体重、睡眠时长、运动频率，以及可选的血压、空腹血糖等基础信息；系统先以本地、可追溯的规则计算 BMI 并识别需要关注的指标，再由受限的 AI 仅对既有规则结论进行通俗解释，生成生活方式建议和 7 天行动计划。报告会保存为历史记录，供用户查看趋势和前后两次结果的变化。</w:t>
      </w:r>
    </w:p>
    <w:p>
      <w:pPr>
        <w:spacing w:after="80" w:line="300" w:lineRule="auto"/>
      </w:pPr>
      <w:r>
        <w:rPr>
          <w:rFonts w:ascii="微软雅黑" w:hAnsi="微软雅黑" w:eastAsia="微软雅黑"/>
          <w:b w:val="0"/>
          <w:i w:val="0"/>
          <w:sz w:val="21"/>
        </w:rPr>
        <w:t>本项目不提供疾病诊断、治疗方案、处方、用药或剂量建议，不面向未成年人、紧急/严重不适人群，也不替代医疗专业人员。对于需要进一步关注的结果，系统提示用户复测并在线下咨询合适的专业人员。</w:t>
      </w:r>
    </w:p>
    <w:p>
      <w:pPr>
        <w:spacing w:before="200" w:after="120"/>
      </w:pPr>
      <w:r>
        <w:rPr>
          <w:rFonts w:ascii="微软雅黑" w:hAnsi="微软雅黑" w:eastAsia="微软雅黑"/>
          <w:b/>
          <w:i w:val="0"/>
          <w:color w:val="2F5496"/>
          <w:sz w:val="26"/>
        </w:rPr>
        <w:t>三、背景、问题与证据边界</w:t>
      </w:r>
    </w:p>
    <w:p>
      <w:pPr>
        <w:spacing w:after="80" w:line="300" w:lineRule="auto"/>
      </w:pPr>
      <w:r>
        <w:rPr>
          <w:rFonts w:ascii="微软雅黑" w:hAnsi="微软雅黑" w:eastAsia="微软雅黑"/>
          <w:b w:val="0"/>
          <w:i w:val="0"/>
          <w:sz w:val="21"/>
        </w:rPr>
        <w:t>成年人在日常健康自我管理中，常会接触体重、睡眠、运动和基础检查数值，但这些信息往往零散：只看到单个数字、不清楚其含义，或难以把“需要关注”转化为可执行的下一步。通用搜索和通用对话工具能提供文字信息，但通常不会对输入来源、规则依据和非诊断边界作出稳定约束。</w:t>
      </w:r>
    </w:p>
    <w:p>
      <w:pPr>
        <w:spacing w:after="80" w:line="300" w:lineRule="auto"/>
      </w:pPr>
      <w:r>
        <w:rPr>
          <w:rFonts w:ascii="微软雅黑" w:hAnsi="微软雅黑" w:eastAsia="微软雅黑"/>
          <w:b w:val="0"/>
          <w:i w:val="0"/>
          <w:sz w:val="21"/>
        </w:rPr>
        <w:t>CareAI 以“记录—解释—行动—回顾”的闭环降低理解和行动门槛。它并不主张已经改善任何健康结果；当前关于用户是否愿意持续记录、是否能理解提示、计划是否可执行等，均属于后续需要合规验证的假设。</w:t>
      </w:r>
    </w:p>
    <w:p>
      <w:pPr>
        <w:spacing w:before="200" w:after="120"/>
      </w:pPr>
      <w:r>
        <w:rPr>
          <w:rFonts w:ascii="微软雅黑" w:hAnsi="微软雅黑" w:eastAsia="微软雅黑"/>
          <w:b/>
          <w:i w:val="0"/>
          <w:color w:val="496B9E"/>
          <w:sz w:val="23"/>
        </w:rPr>
        <w:t>已采用的公开依据（F）</w:t>
      </w:r>
    </w:p>
    <w:p>
      <w:pPr>
        <w:pStyle w:val="ListNumber"/>
        <w:spacing w:after="40"/>
      </w:pPr>
      <w:r>
        <w:rPr>
          <w:rFonts w:ascii="微软雅黑" w:hAnsi="微软雅黑" w:eastAsia="微软雅黑"/>
          <w:b w:val="0"/>
          <w:i w:val="0"/>
          <w:sz w:val="21"/>
        </w:rPr>
        <w:t>国家卫生健康委员会发布的《健康中国行动（2019—2030 年）》将健康知识普及、合理膳食和全民健身列为重点行动，强调个人健康管理能力。</w:t>
      </w:r>
    </w:p>
    <w:p>
      <w:pPr>
        <w:pStyle w:val="ListNumber"/>
        <w:spacing w:after="40"/>
      </w:pPr>
      <w:r>
        <w:rPr>
          <w:rFonts w:ascii="微软雅黑" w:hAnsi="微软雅黑" w:eastAsia="微软雅黑"/>
          <w:b w:val="0"/>
          <w:i w:val="0"/>
          <w:sz w:val="21"/>
        </w:rPr>
        <w:t>世界卫生组织关于身体活动的建议指出，成年人每周应至少进行 150 分钟中等强度身体活动，或等量活动。</w:t>
      </w:r>
    </w:p>
    <w:p>
      <w:pPr>
        <w:pStyle w:val="ListNumber"/>
        <w:spacing w:after="40"/>
      </w:pPr>
      <w:r>
        <w:rPr>
          <w:rFonts w:ascii="微软雅黑" w:hAnsi="微软雅黑" w:eastAsia="微软雅黑"/>
          <w:b w:val="0"/>
          <w:i w:val="0"/>
          <w:sz w:val="21"/>
        </w:rPr>
        <w:t>美国 CDC 的睡眠健康资料说明，大多数成年人通常需要每天至少 7 小时睡眠。</w:t>
      </w:r>
    </w:p>
    <w:p>
      <w:pPr>
        <w:pStyle w:val="ListNumber"/>
        <w:spacing w:after="40"/>
      </w:pPr>
      <w:r>
        <w:rPr>
          <w:rFonts w:ascii="微软雅黑" w:hAnsi="微软雅黑" w:eastAsia="微软雅黑"/>
          <w:b w:val="0"/>
          <w:i w:val="0"/>
          <w:sz w:val="21"/>
        </w:rPr>
        <w:t>《个人信息保护法》将医疗健康信息视为敏感个人信息，处理此类信息需要具有特定目的和充分必要性，并采取更严格的保护措施。</w:t>
      </w:r>
    </w:p>
    <w:p>
      <w:pPr>
        <w:spacing w:before="200" w:after="120"/>
      </w:pPr>
      <w:r>
        <w:rPr>
          <w:rFonts w:ascii="微软雅黑" w:hAnsi="微软雅黑" w:eastAsia="微软雅黑"/>
          <w:b/>
          <w:i w:val="0"/>
          <w:color w:val="496B9E"/>
          <w:sz w:val="23"/>
        </w:rPr>
        <w:t>推断与假设（I / H）</w:t>
      </w:r>
    </w:p>
    <w:p>
      <w:pPr>
        <w:pStyle w:val="ListBullet"/>
        <w:spacing w:after="40"/>
      </w:pPr>
      <w:r>
        <w:rPr>
          <w:rFonts w:ascii="微软雅黑" w:hAnsi="微软雅黑" w:eastAsia="微软雅黑"/>
          <w:b w:val="0"/>
          <w:i w:val="0"/>
          <w:sz w:val="21"/>
        </w:rPr>
        <w:t>I： 将数据记录、规则解释和短期行动计划放在一个流程中，可能减少用户理解健康信息与安排下一步行动的门槛。</w:t>
      </w:r>
    </w:p>
    <w:p>
      <w:pPr>
        <w:pStyle w:val="ListBullet"/>
        <w:spacing w:after="40"/>
      </w:pPr>
      <w:r>
        <w:rPr>
          <w:rFonts w:ascii="微软雅黑" w:hAnsi="微软雅黑" w:eastAsia="微软雅黑"/>
          <w:b w:val="0"/>
          <w:i w:val="0"/>
          <w:sz w:val="21"/>
        </w:rPr>
        <w:t>H： 成年用户愿意主动完成基础数据录入并理解 normal / attention / high_attention 的非诊断含义。</w:t>
      </w:r>
    </w:p>
    <w:p>
      <w:pPr>
        <w:pStyle w:val="ListBullet"/>
        <w:spacing w:after="40"/>
      </w:pPr>
      <w:r>
        <w:rPr>
          <w:rFonts w:ascii="微软雅黑" w:hAnsi="微软雅黑" w:eastAsia="微软雅黑"/>
          <w:b w:val="0"/>
          <w:i w:val="0"/>
          <w:sz w:val="21"/>
        </w:rPr>
        <w:t>H： 以“指标—原因—建议—7 天计划”呈现结果，可能比仅展示原始数值更易于理解和执行。</w:t>
      </w:r>
    </w:p>
    <w:p>
      <w:pPr>
        <w:pStyle w:val="ListBullet"/>
        <w:spacing w:after="40"/>
      </w:pPr>
      <w:r>
        <w:rPr>
          <w:rFonts w:ascii="微软雅黑" w:hAnsi="微软雅黑" w:eastAsia="微软雅黑"/>
          <w:b w:val="0"/>
          <w:i w:val="0"/>
          <w:sz w:val="21"/>
        </w:rPr>
        <w:t>H： 持续展示非诊断边界、数据处理说明和线下咨询提示，可能减少用户将系统结果误解为医疗结论的风险。</w:t>
      </w:r>
    </w:p>
    <w:p>
      <w:pPr>
        <w:spacing w:after="80" w:line="300" w:lineRule="auto"/>
      </w:pPr>
      <w:r>
        <w:rPr>
          <w:rFonts w:ascii="微软雅黑" w:hAnsi="微软雅黑" w:eastAsia="微软雅黑"/>
          <w:b w:val="0"/>
          <w:i w:val="0"/>
          <w:sz w:val="21"/>
        </w:rPr>
        <w:t>本项目目前没有使用真实问卷、访谈、临床数据、订单、收入或合作证明；不会把尚未验证的需求、留存、效果或商业化结论写成事实。</w:t>
      </w:r>
    </w:p>
    <w:p>
      <w:pPr>
        <w:spacing w:before="200" w:after="120"/>
      </w:pPr>
      <w:r>
        <w:rPr>
          <w:rFonts w:ascii="微软雅黑" w:hAnsi="微软雅黑" w:eastAsia="微软雅黑"/>
          <w:b/>
          <w:i w:val="0"/>
          <w:color w:val="2F5496"/>
          <w:sz w:val="26"/>
        </w:rPr>
        <w:t>四、目标用户与使用场景</w:t>
      </w:r>
    </w:p>
    <w:p>
      <w:pPr>
        <w:spacing w:after="80" w:line="300" w:lineRule="auto"/>
      </w:pPr>
      <w:r>
        <w:rPr>
          <w:rFonts w:ascii="微软雅黑" w:hAnsi="微软雅黑" w:eastAsia="微软雅黑"/>
          <w:b w:val="0"/>
          <w:i w:val="0"/>
          <w:sz w:val="21"/>
        </w:rPr>
        <w:t>首期目标用户是愿意自主记录基础健康数据的成年学生和初入职场的年轻成年人，尤其是希望改善睡眠、运动与体重管理习惯的人群。</w:t>
      </w:r>
    </w:p>
    <w:p>
      <w:pPr>
        <w:spacing w:after="80" w:line="300" w:lineRule="auto"/>
      </w:pPr>
      <w:r>
        <w:rPr>
          <w:rFonts w:ascii="微软雅黑" w:hAnsi="微软雅黑" w:eastAsia="微软雅黑"/>
          <w:b w:val="0"/>
          <w:i w:val="0"/>
          <w:sz w:val="21"/>
        </w:rPr>
        <w:t>典型场景为：用户希望梳理近期健康记录，理解哪些日常习惯值得关注，并获得低风险、可在一周内执行的生活方式安排。用户可以在第二次录入后查看趋势和报告对比。</w:t>
      </w:r>
    </w:p>
    <w:p>
      <w:pPr>
        <w:spacing w:after="80" w:line="300" w:lineRule="auto"/>
      </w:pPr>
      <w:r>
        <w:rPr>
          <w:rFonts w:ascii="微软雅黑" w:hAnsi="微软雅黑" w:eastAsia="微软雅黑"/>
          <w:b w:val="0"/>
          <w:i w:val="0"/>
          <w:sz w:val="21"/>
        </w:rPr>
        <w:t>不适用的场景包括：未成年人；急症、严重不适或需要立即就医的情况；需要临床诊断、治疗决策、处方或药物建议的情况。</w:t>
      </w:r>
    </w:p>
    <w:p>
      <w:pPr>
        <w:spacing w:before="200" w:after="120"/>
      </w:pPr>
      <w:r>
        <w:rPr>
          <w:rFonts w:ascii="微软雅黑" w:hAnsi="微软雅黑" w:eastAsia="微软雅黑"/>
          <w:b/>
          <w:i w:val="0"/>
          <w:color w:val="2F5496"/>
          <w:sz w:val="26"/>
        </w:rPr>
        <w:t>五、解决方案与核心功能</w:t>
      </w:r>
    </w:p>
    <w:p>
      <w:pPr>
        <w:spacing w:after="80" w:line="300" w:lineRule="auto"/>
      </w:pPr>
      <w:r>
        <w:rPr>
          <w:rFonts w:ascii="微软雅黑" w:hAnsi="微软雅黑" w:eastAsia="微软雅黑"/>
          <w:b w:val="0"/>
          <w:i w:val="0"/>
          <w:sz w:val="21"/>
        </w:rPr>
        <w:t>CareAI 的核心流程如下：</w:t>
      </w:r>
    </w:p>
    <w:p>
      <w:pPr>
        <w:spacing w:after="80" w:line="300" w:lineRule="auto"/>
      </w:pPr>
      <w:r>
        <w:rPr>
          <w:rFonts w:ascii="微软雅黑" w:hAnsi="微软雅黑" w:eastAsia="微软雅黑"/>
          <w:b w:val="0"/>
          <w:i w:val="0"/>
          <w:sz w:val="21"/>
        </w:rPr>
        <w:t>健康数据录入 → 本地规则生成可追溯提示 → 受限 AI 解释与行动计划 → 历史报告、趋势与对比</w:t>
      </w:r>
    </w:p>
    <w:p>
      <w:pPr>
        <w:spacing w:before="200" w:after="120"/>
      </w:pPr>
      <w:r>
        <w:rPr>
          <w:rFonts w:ascii="微软雅黑" w:hAnsi="微软雅黑" w:eastAsia="微软雅黑"/>
          <w:b/>
          <w:i w:val="0"/>
          <w:color w:val="496B9E"/>
          <w:sz w:val="23"/>
        </w:rPr>
        <w:t>1. 基础健康数据录入</w:t>
      </w:r>
    </w:p>
    <w:p>
      <w:pPr>
        <w:spacing w:after="80" w:line="300" w:lineRule="auto"/>
      </w:pPr>
      <w:r>
        <w:rPr>
          <w:rFonts w:ascii="微软雅黑" w:hAnsi="微软雅黑" w:eastAsia="微软雅黑"/>
          <w:b w:val="0"/>
          <w:i w:val="0"/>
          <w:sz w:val="21"/>
        </w:rPr>
        <w:t>用户填写年龄、性别、身高、体重、平均睡眠时长和运动频率；血压及空腹血糖为可选字段。页面提供示例情景以辅助演示，并在输入和结果界面说明适用范围。</w:t>
      </w:r>
    </w:p>
    <w:p>
      <w:pPr>
        <w:spacing w:before="200" w:after="120"/>
      </w:pPr>
      <w:r>
        <w:rPr>
          <w:rFonts w:ascii="微软雅黑" w:hAnsi="微软雅黑" w:eastAsia="微软雅黑"/>
          <w:b/>
          <w:i w:val="0"/>
          <w:color w:val="496B9E"/>
          <w:sz w:val="23"/>
        </w:rPr>
        <w:t>2. 可解释的规则引擎</w:t>
      </w:r>
    </w:p>
    <w:p>
      <w:pPr>
        <w:spacing w:after="80" w:line="300" w:lineRule="auto"/>
      </w:pPr>
      <w:r>
        <w:rPr>
          <w:rFonts w:ascii="微软雅黑" w:hAnsi="微软雅黑" w:eastAsia="微软雅黑"/>
          <w:b w:val="0"/>
          <w:i w:val="0"/>
          <w:sz w:val="21"/>
        </w:rPr>
        <w:t>后端本地计算 BMI，并按照预先配置的规则识别 BMI、睡眠、每周运动、血压及空腹血糖的关注等级。每一个结果附带规则来源和触发原因；输出等级仅为 normal、attention、high_attention，不输出疾病名称或诊断结论。</w:t>
      </w:r>
    </w:p>
    <w:p>
      <w:pPr>
        <w:spacing w:before="200" w:after="120"/>
      </w:pPr>
      <w:r>
        <w:rPr>
          <w:rFonts w:ascii="微软雅黑" w:hAnsi="微软雅黑" w:eastAsia="微软雅黑"/>
          <w:b/>
          <w:i w:val="0"/>
          <w:color w:val="496B9E"/>
          <w:sz w:val="23"/>
        </w:rPr>
        <w:t>3. 受限 AI 健康报告 Agent</w:t>
      </w:r>
    </w:p>
    <w:p>
      <w:pPr>
        <w:spacing w:after="80" w:line="300" w:lineRule="auto"/>
      </w:pPr>
      <w:r>
        <w:rPr>
          <w:rFonts w:ascii="微软雅黑" w:hAnsi="微软雅黑" w:eastAsia="微软雅黑"/>
          <w:b w:val="0"/>
          <w:i w:val="0"/>
          <w:sz w:val="21"/>
        </w:rPr>
        <w:t>AI Agent 只接收规则层已经确定的“需要关注项”，不能自行新增风险类别或重新判断等级。其输出被限制为结构化 JSON，必须包含：简要总结、对既有关注项的解释、1—5 条生活方式建议及恰好 7 天的行动计划。系统会校验类别、字段、禁用的诊断/处方类表述；校验失败时重试，仍失败则不保存报告。</w:t>
      </w:r>
    </w:p>
    <w:p>
      <w:pPr>
        <w:spacing w:before="200" w:after="120"/>
      </w:pPr>
      <w:r>
        <w:rPr>
          <w:rFonts w:ascii="微软雅黑" w:hAnsi="微软雅黑" w:eastAsia="微软雅黑"/>
          <w:b/>
          <w:i w:val="0"/>
          <w:color w:val="496B9E"/>
          <w:sz w:val="23"/>
        </w:rPr>
        <w:t>4. 历史趋势与行动回顾</w:t>
      </w:r>
    </w:p>
    <w:p>
      <w:pPr>
        <w:spacing w:after="80" w:line="300" w:lineRule="auto"/>
      </w:pPr>
      <w:r>
        <w:rPr>
          <w:rFonts w:ascii="微软雅黑" w:hAnsi="微软雅黑" w:eastAsia="微软雅黑"/>
          <w:b w:val="0"/>
          <w:i w:val="0"/>
          <w:sz w:val="21"/>
        </w:rPr>
        <w:t>完整报告保存至本地 SQLite 数据库，用户可查看历史报告、指标趋势及两次记录的变化。7 天计划的完成勾选保存在浏览器本地，用于个人回顾。</w:t>
      </w:r>
    </w:p>
    <w:p>
      <w:pPr>
        <w:spacing w:before="200" w:after="120"/>
      </w:pPr>
      <w:r>
        <w:rPr>
          <w:rFonts w:ascii="微软雅黑" w:hAnsi="微软雅黑" w:eastAsia="微软雅黑"/>
          <w:b/>
          <w:i w:val="0"/>
          <w:color w:val="2F5496"/>
          <w:sz w:val="26"/>
        </w:rPr>
        <w:t>六、技术实现与数据流程</w:t>
      </w:r>
    </w:p>
    <w:p>
      <w:pPr>
        <w:spacing w:after="80" w:line="300" w:lineRule="auto"/>
      </w:pPr>
      <w:r>
        <w:rPr>
          <w:rFonts w:ascii="微软雅黑" w:hAnsi="微软雅黑" w:eastAsia="微软雅黑"/>
          <w:b w:val="0"/>
          <w:i w:val="0"/>
          <w:sz w:val="21"/>
        </w:rPr>
        <w:t>前端使用 React 与 TypeScript 构建数据录入、报告展示和历史页面；后端使用 FastAPI 提供 API；SQLite 用于保存报告和趋势数据。外部大模型密钥仅配置在服务端环境变量中，不暴露在前端。</w:t>
      </w:r>
    </w:p>
    <w:p>
      <w:pPr>
        <w:spacing w:after="80" w:line="300" w:lineRule="auto"/>
      </w:pPr>
      <w:r>
        <w:rPr>
          <w:rFonts w:ascii="微软雅黑" w:hAnsi="微软雅黑" w:eastAsia="微软雅黑"/>
          <w:b w:val="0"/>
          <w:i w:val="0"/>
          <w:sz w:val="21"/>
        </w:rPr>
        <w:t>系统按照“规则先行、生成受限”的原则工作：</w:t>
      </w:r>
    </w:p>
    <w:tbl>
      <w:tblPr>
        <w:tblStyle w:val="TableGrid"/>
        <w:tblW w:type="auto" w:w="0"/>
        <w:jc w:val="center"/>
        <w:tblLook w:firstColumn="1" w:firstRow="1" w:lastColumn="0" w:lastRow="0" w:noHBand="0" w:noVBand="1" w:val="04A0"/>
      </w:tblPr>
      <w:tblGrid>
        <w:gridCol w:w="3267"/>
        <w:gridCol w:w="3267"/>
        <w:gridCol w:w="3267"/>
      </w:tblGrid>
      <w:tr>
        <w:tc>
          <w:tcPr>
            <w:tcW w:type="dxa" w:w="3267"/>
            <w:vAlign w:val="center"/>
            <w:shd w:val="clear" w:color="auto" w:fill="1F4E79"/>
          </w:tcPr>
          <w:p>
            <w:pPr>
              <w:spacing w:after="20"/>
            </w:pPr>
            <w:r/>
            <w:r>
              <w:rPr>
                <w:rFonts w:ascii="微软雅黑" w:hAnsi="微软雅黑" w:eastAsia="微软雅黑"/>
                <w:b/>
                <w:i w:val="0"/>
                <w:color w:val="FFFFFF"/>
                <w:sz w:val="17"/>
              </w:rPr>
              <w:t>层级</w:t>
            </w:r>
          </w:p>
        </w:tc>
        <w:tc>
          <w:tcPr>
            <w:tcW w:type="dxa" w:w="3267"/>
            <w:vAlign w:val="center"/>
            <w:shd w:val="clear" w:color="auto" w:fill="1F4E79"/>
          </w:tcPr>
          <w:p>
            <w:pPr>
              <w:spacing w:after="20"/>
            </w:pPr>
            <w:r/>
            <w:r>
              <w:rPr>
                <w:rFonts w:ascii="微软雅黑" w:hAnsi="微软雅黑" w:eastAsia="微软雅黑"/>
                <w:b/>
                <w:i w:val="0"/>
                <w:color w:val="FFFFFF"/>
                <w:sz w:val="17"/>
              </w:rPr>
              <w:t>职责</w:t>
            </w:r>
          </w:p>
        </w:tc>
        <w:tc>
          <w:tcPr>
            <w:tcW w:type="dxa" w:w="3267"/>
            <w:vAlign w:val="center"/>
            <w:shd w:val="clear" w:color="auto" w:fill="1F4E79"/>
          </w:tcPr>
          <w:p>
            <w:pPr>
              <w:spacing w:after="20"/>
            </w:pPr>
            <w:r/>
            <w:r>
              <w:rPr>
                <w:rFonts w:ascii="微软雅黑" w:hAnsi="微软雅黑" w:eastAsia="微软雅黑"/>
                <w:b/>
                <w:i w:val="0"/>
                <w:color w:val="FFFFFF"/>
                <w:sz w:val="17"/>
              </w:rPr>
              <w:t>安全边界</w:t>
            </w:r>
          </w:p>
        </w:tc>
      </w:tr>
      <w:tr>
        <w:tc>
          <w:tcPr>
            <w:tcW w:type="dxa" w:w="3267"/>
            <w:vAlign w:val="center"/>
            <w:shd w:val="clear" w:color="auto" w:fill="F4F7FB"/>
          </w:tcPr>
          <w:p>
            <w:pPr>
              <w:spacing w:after="20"/>
            </w:pPr>
            <w:r/>
            <w:r>
              <w:rPr>
                <w:rFonts w:ascii="微软雅黑" w:hAnsi="微软雅黑" w:eastAsia="微软雅黑"/>
                <w:b w:val="0"/>
                <w:i w:val="0"/>
                <w:sz w:val="17"/>
              </w:rPr>
              <w:t>前端</w:t>
            </w:r>
          </w:p>
        </w:tc>
        <w:tc>
          <w:tcPr>
            <w:tcW w:type="dxa" w:w="3267"/>
            <w:vAlign w:val="center"/>
            <w:shd w:val="clear" w:color="auto" w:fill="F4F7FB"/>
          </w:tcPr>
          <w:p>
            <w:pPr>
              <w:spacing w:after="20"/>
            </w:pPr>
            <w:r/>
            <w:r>
              <w:rPr>
                <w:rFonts w:ascii="微软雅黑" w:hAnsi="微软雅黑" w:eastAsia="微软雅黑"/>
                <w:b w:val="0"/>
                <w:i w:val="0"/>
                <w:sz w:val="17"/>
              </w:rPr>
              <w:t>表单、报告、历史趋势、免责声明</w:t>
            </w:r>
          </w:p>
        </w:tc>
        <w:tc>
          <w:tcPr>
            <w:tcW w:type="dxa" w:w="3267"/>
            <w:vAlign w:val="center"/>
            <w:shd w:val="clear" w:color="auto" w:fill="F4F7FB"/>
          </w:tcPr>
          <w:p>
            <w:pPr>
              <w:spacing w:after="20"/>
            </w:pPr>
            <w:r/>
            <w:r>
              <w:rPr>
                <w:rFonts w:ascii="微软雅黑" w:hAnsi="微软雅黑" w:eastAsia="微软雅黑"/>
                <w:b w:val="0"/>
                <w:i w:val="0"/>
                <w:sz w:val="17"/>
              </w:rPr>
              <w:t>不保存 API 密钥；明确非诊断提示</w:t>
            </w:r>
          </w:p>
        </w:tc>
      </w:tr>
      <w:tr>
        <w:tc>
          <w:tcPr>
            <w:tcW w:type="dxa" w:w="3267"/>
            <w:vAlign w:val="center"/>
          </w:tcPr>
          <w:p>
            <w:pPr>
              <w:spacing w:after="20"/>
            </w:pPr>
            <w:r/>
            <w:r>
              <w:rPr>
                <w:rFonts w:ascii="微软雅黑" w:hAnsi="微软雅黑" w:eastAsia="微软雅黑"/>
                <w:b w:val="0"/>
                <w:i w:val="0"/>
                <w:sz w:val="17"/>
              </w:rPr>
              <w:t>规则层</w:t>
            </w:r>
          </w:p>
        </w:tc>
        <w:tc>
          <w:tcPr>
            <w:tcW w:type="dxa" w:w="3267"/>
            <w:vAlign w:val="center"/>
          </w:tcPr>
          <w:p>
            <w:pPr>
              <w:spacing w:after="20"/>
            </w:pPr>
            <w:r/>
            <w:r>
              <w:rPr>
                <w:rFonts w:ascii="微软雅黑" w:hAnsi="微软雅黑" w:eastAsia="微软雅黑"/>
                <w:b w:val="0"/>
                <w:i w:val="0"/>
                <w:sz w:val="17"/>
              </w:rPr>
              <w:t>BMI、睡眠、运动、血压、血糖的确定性判断</w:t>
            </w:r>
          </w:p>
        </w:tc>
        <w:tc>
          <w:tcPr>
            <w:tcW w:type="dxa" w:w="3267"/>
            <w:vAlign w:val="center"/>
          </w:tcPr>
          <w:p>
            <w:pPr>
              <w:spacing w:after="20"/>
            </w:pPr>
            <w:r/>
            <w:r>
              <w:rPr>
                <w:rFonts w:ascii="微软雅黑" w:hAnsi="微软雅黑" w:eastAsia="微软雅黑"/>
                <w:b w:val="0"/>
                <w:i w:val="0"/>
                <w:sz w:val="17"/>
              </w:rPr>
              <w:t>风险等级由本地规则决定，可追溯</w:t>
            </w:r>
          </w:p>
        </w:tc>
      </w:tr>
      <w:tr>
        <w:tc>
          <w:tcPr>
            <w:tcW w:type="dxa" w:w="3267"/>
            <w:vAlign w:val="center"/>
            <w:shd w:val="clear" w:color="auto" w:fill="F4F7FB"/>
          </w:tcPr>
          <w:p>
            <w:pPr>
              <w:spacing w:after="20"/>
            </w:pPr>
            <w:r/>
            <w:r>
              <w:rPr>
                <w:rFonts w:ascii="微软雅黑" w:hAnsi="微软雅黑" w:eastAsia="微软雅黑"/>
                <w:b w:val="0"/>
                <w:i w:val="0"/>
                <w:sz w:val="17"/>
              </w:rPr>
              <w:t>Agent 层</w:t>
            </w:r>
          </w:p>
        </w:tc>
        <w:tc>
          <w:tcPr>
            <w:tcW w:type="dxa" w:w="3267"/>
            <w:vAlign w:val="center"/>
            <w:shd w:val="clear" w:color="auto" w:fill="F4F7FB"/>
          </w:tcPr>
          <w:p>
            <w:pPr>
              <w:spacing w:after="20"/>
            </w:pPr>
            <w:r/>
            <w:r>
              <w:rPr>
                <w:rFonts w:ascii="微软雅黑" w:hAnsi="微软雅黑" w:eastAsia="微软雅黑"/>
                <w:b w:val="0"/>
                <w:i w:val="0"/>
                <w:sz w:val="17"/>
              </w:rPr>
              <w:t>解释既有风险、生成生活方式建议及 7 天计划</w:t>
            </w:r>
          </w:p>
        </w:tc>
        <w:tc>
          <w:tcPr>
            <w:tcW w:type="dxa" w:w="3267"/>
            <w:vAlign w:val="center"/>
            <w:shd w:val="clear" w:color="auto" w:fill="F4F7FB"/>
          </w:tcPr>
          <w:p>
            <w:pPr>
              <w:spacing w:after="20"/>
            </w:pPr>
            <w:r/>
            <w:r>
              <w:rPr>
                <w:rFonts w:ascii="微软雅黑" w:hAnsi="微软雅黑" w:eastAsia="微软雅黑"/>
                <w:b w:val="0"/>
                <w:i w:val="0"/>
                <w:sz w:val="17"/>
              </w:rPr>
              <w:t>禁止诊断、处方、用药剂量和新增风险</w:t>
            </w:r>
          </w:p>
        </w:tc>
      </w:tr>
      <w:tr>
        <w:tc>
          <w:tcPr>
            <w:tcW w:type="dxa" w:w="3267"/>
            <w:vAlign w:val="center"/>
          </w:tcPr>
          <w:p>
            <w:pPr>
              <w:spacing w:after="20"/>
            </w:pPr>
            <w:r/>
            <w:r>
              <w:rPr>
                <w:rFonts w:ascii="微软雅黑" w:hAnsi="微软雅黑" w:eastAsia="微软雅黑"/>
                <w:b w:val="0"/>
                <w:i w:val="0"/>
                <w:sz w:val="17"/>
              </w:rPr>
              <w:t>数据层</w:t>
            </w:r>
          </w:p>
        </w:tc>
        <w:tc>
          <w:tcPr>
            <w:tcW w:type="dxa" w:w="3267"/>
            <w:vAlign w:val="center"/>
          </w:tcPr>
          <w:p>
            <w:pPr>
              <w:spacing w:after="20"/>
            </w:pPr>
            <w:r/>
            <w:r>
              <w:rPr>
                <w:rFonts w:ascii="微软雅黑" w:hAnsi="微软雅黑" w:eastAsia="微软雅黑"/>
                <w:b w:val="0"/>
                <w:i w:val="0"/>
                <w:sz w:val="17"/>
              </w:rPr>
              <w:t>保存输入、规则评估和结构化报告</w:t>
            </w:r>
          </w:p>
        </w:tc>
        <w:tc>
          <w:tcPr>
            <w:tcW w:type="dxa" w:w="3267"/>
            <w:vAlign w:val="center"/>
          </w:tcPr>
          <w:p>
            <w:pPr>
              <w:spacing w:after="20"/>
            </w:pPr>
            <w:r/>
            <w:r>
              <w:rPr>
                <w:rFonts w:ascii="微软雅黑" w:hAnsi="微软雅黑" w:eastAsia="微软雅黑"/>
                <w:b w:val="0"/>
                <w:i w:val="0"/>
                <w:sz w:val="17"/>
              </w:rPr>
              <w:t>仅在规则与报告均成功时写入</w:t>
            </w:r>
          </w:p>
        </w:tc>
      </w:tr>
    </w:tbl>
    <w:p/>
    <w:p>
      <w:pPr>
        <w:spacing w:after="80" w:line="300" w:lineRule="auto"/>
      </w:pPr>
      <w:r>
        <w:rPr>
          <w:rFonts w:ascii="微软雅黑" w:hAnsi="微软雅黑" w:eastAsia="微软雅黑"/>
          <w:b w:val="0"/>
          <w:i w:val="0"/>
          <w:sz w:val="21"/>
        </w:rPr>
        <w:t>规则版本通过接口公开，便于演示时说明阈值、适用范围和参考资料。项目内已有规则与接口流程测试，包括低风险/高关注情景、字段别名归一化、可选血糖、Agent 输出结构和报告保存读取。</w:t>
      </w:r>
    </w:p>
    <w:p>
      <w:pPr>
        <w:spacing w:before="200" w:after="120"/>
      </w:pPr>
      <w:r>
        <w:rPr>
          <w:rFonts w:ascii="微软雅黑" w:hAnsi="微软雅黑" w:eastAsia="微软雅黑"/>
          <w:b/>
          <w:i w:val="0"/>
          <w:color w:val="2F5496"/>
          <w:sz w:val="26"/>
        </w:rPr>
        <w:t>七、差异化与创新点</w:t>
      </w:r>
    </w:p>
    <w:tbl>
      <w:tblPr>
        <w:tblStyle w:val="TableGrid"/>
        <w:tblW w:type="auto" w:w="0"/>
        <w:jc w:val="center"/>
        <w:tblLook w:firstColumn="1" w:firstRow="1" w:lastColumn="0" w:lastRow="0" w:noHBand="0" w:noVBand="1" w:val="04A0"/>
      </w:tblPr>
      <w:tblGrid>
        <w:gridCol w:w="3267"/>
        <w:gridCol w:w="3267"/>
        <w:gridCol w:w="3267"/>
      </w:tblGrid>
      <w:tr>
        <w:tc>
          <w:tcPr>
            <w:tcW w:type="dxa" w:w="3267"/>
            <w:vAlign w:val="center"/>
            <w:shd w:val="clear" w:color="auto" w:fill="1F4E79"/>
          </w:tcPr>
          <w:p>
            <w:pPr>
              <w:spacing w:after="20"/>
            </w:pPr>
            <w:r/>
            <w:r>
              <w:rPr>
                <w:rFonts w:ascii="微软雅黑" w:hAnsi="微软雅黑" w:eastAsia="微软雅黑"/>
                <w:b/>
                <w:i w:val="0"/>
                <w:color w:val="FFFFFF"/>
                <w:sz w:val="17"/>
              </w:rPr>
              <w:t>对比对象</w:t>
            </w:r>
          </w:p>
        </w:tc>
        <w:tc>
          <w:tcPr>
            <w:tcW w:type="dxa" w:w="3267"/>
            <w:vAlign w:val="center"/>
            <w:shd w:val="clear" w:color="auto" w:fill="1F4E79"/>
          </w:tcPr>
          <w:p>
            <w:pPr>
              <w:spacing w:after="20"/>
            </w:pPr>
            <w:r/>
            <w:r>
              <w:rPr>
                <w:rFonts w:ascii="微软雅黑" w:hAnsi="微软雅黑" w:eastAsia="微软雅黑"/>
                <w:b/>
                <w:i w:val="0"/>
                <w:color w:val="FFFFFF"/>
                <w:sz w:val="17"/>
              </w:rPr>
              <w:t>常见特点</w:t>
            </w:r>
          </w:p>
        </w:tc>
        <w:tc>
          <w:tcPr>
            <w:tcW w:type="dxa" w:w="3267"/>
            <w:vAlign w:val="center"/>
            <w:shd w:val="clear" w:color="auto" w:fill="1F4E79"/>
          </w:tcPr>
          <w:p>
            <w:pPr>
              <w:spacing w:after="20"/>
            </w:pPr>
            <w:r/>
            <w:r>
              <w:rPr>
                <w:rFonts w:ascii="微软雅黑" w:hAnsi="微软雅黑" w:eastAsia="微软雅黑"/>
                <w:b/>
                <w:i w:val="0"/>
                <w:color w:val="FFFFFF"/>
                <w:sz w:val="17"/>
              </w:rPr>
              <w:t>CareAI 的处理方式</w:t>
            </w:r>
          </w:p>
        </w:tc>
      </w:tr>
      <w:tr>
        <w:tc>
          <w:tcPr>
            <w:tcW w:type="dxa" w:w="3267"/>
            <w:vAlign w:val="center"/>
            <w:shd w:val="clear" w:color="auto" w:fill="F4F7FB"/>
          </w:tcPr>
          <w:p>
            <w:pPr>
              <w:spacing w:after="20"/>
            </w:pPr>
            <w:r/>
            <w:r>
              <w:rPr>
                <w:rFonts w:ascii="微软雅黑" w:hAnsi="微软雅黑" w:eastAsia="微软雅黑"/>
                <w:b w:val="0"/>
                <w:i w:val="0"/>
                <w:sz w:val="17"/>
              </w:rPr>
              <w:t>自行查看体检或设备数值</w:t>
            </w:r>
          </w:p>
        </w:tc>
        <w:tc>
          <w:tcPr>
            <w:tcW w:type="dxa" w:w="3267"/>
            <w:vAlign w:val="center"/>
            <w:shd w:val="clear" w:color="auto" w:fill="F4F7FB"/>
          </w:tcPr>
          <w:p>
            <w:pPr>
              <w:spacing w:after="20"/>
            </w:pPr>
            <w:r/>
            <w:r>
              <w:rPr>
                <w:rFonts w:ascii="微软雅黑" w:hAnsi="微软雅黑" w:eastAsia="微软雅黑"/>
                <w:b w:val="0"/>
                <w:i w:val="0"/>
                <w:sz w:val="17"/>
              </w:rPr>
              <w:t>提供原始指标，但需用户自行解释和安排</w:t>
            </w:r>
          </w:p>
        </w:tc>
        <w:tc>
          <w:tcPr>
            <w:tcW w:type="dxa" w:w="3267"/>
            <w:vAlign w:val="center"/>
            <w:shd w:val="clear" w:color="auto" w:fill="F4F7FB"/>
          </w:tcPr>
          <w:p>
            <w:pPr>
              <w:spacing w:after="20"/>
            </w:pPr>
            <w:r/>
            <w:r>
              <w:rPr>
                <w:rFonts w:ascii="微软雅黑" w:hAnsi="微软雅黑" w:eastAsia="微软雅黑"/>
                <w:b w:val="0"/>
                <w:i w:val="0"/>
                <w:sz w:val="17"/>
              </w:rPr>
              <w:t>以规则解释连接指标与下一步行动</w:t>
            </w:r>
          </w:p>
        </w:tc>
      </w:tr>
      <w:tr>
        <w:tc>
          <w:tcPr>
            <w:tcW w:type="dxa" w:w="3267"/>
            <w:vAlign w:val="center"/>
          </w:tcPr>
          <w:p>
            <w:pPr>
              <w:spacing w:after="20"/>
            </w:pPr>
            <w:r/>
            <w:r>
              <w:rPr>
                <w:rFonts w:ascii="微软雅黑" w:hAnsi="微软雅黑" w:eastAsia="微软雅黑"/>
                <w:b w:val="0"/>
                <w:i w:val="0"/>
                <w:sz w:val="17"/>
              </w:rPr>
              <w:t>通用搜索或通用 AI 对话</w:t>
            </w:r>
          </w:p>
        </w:tc>
        <w:tc>
          <w:tcPr>
            <w:tcW w:type="dxa" w:w="3267"/>
            <w:vAlign w:val="center"/>
          </w:tcPr>
          <w:p>
            <w:pPr>
              <w:spacing w:after="20"/>
            </w:pPr>
            <w:r/>
            <w:r>
              <w:rPr>
                <w:rFonts w:ascii="微软雅黑" w:hAnsi="微软雅黑" w:eastAsia="微软雅黑"/>
                <w:b w:val="0"/>
                <w:i w:val="0"/>
                <w:sz w:val="17"/>
              </w:rPr>
              <w:t>文字建议快速，但边界和依据可能不稳定</w:t>
            </w:r>
          </w:p>
        </w:tc>
        <w:tc>
          <w:tcPr>
            <w:tcW w:type="dxa" w:w="3267"/>
            <w:vAlign w:val="center"/>
          </w:tcPr>
          <w:p>
            <w:pPr>
              <w:spacing w:after="20"/>
            </w:pPr>
            <w:r/>
            <w:r>
              <w:rPr>
                <w:rFonts w:ascii="微软雅黑" w:hAnsi="微软雅黑" w:eastAsia="微软雅黑"/>
                <w:b w:val="0"/>
                <w:i w:val="0"/>
                <w:sz w:val="17"/>
              </w:rPr>
              <w:t>规则决定关注项，AI 仅负责受限解释与计划</w:t>
            </w:r>
          </w:p>
        </w:tc>
      </w:tr>
      <w:tr>
        <w:tc>
          <w:tcPr>
            <w:tcW w:type="dxa" w:w="3267"/>
            <w:vAlign w:val="center"/>
            <w:shd w:val="clear" w:color="auto" w:fill="F4F7FB"/>
          </w:tcPr>
          <w:p>
            <w:pPr>
              <w:spacing w:after="20"/>
            </w:pPr>
            <w:r/>
            <w:r>
              <w:rPr>
                <w:rFonts w:ascii="微软雅黑" w:hAnsi="微软雅黑" w:eastAsia="微软雅黑"/>
                <w:b w:val="0"/>
                <w:i w:val="0"/>
                <w:sz w:val="17"/>
              </w:rPr>
              <w:t>不使用任何工具</w:t>
            </w:r>
          </w:p>
        </w:tc>
        <w:tc>
          <w:tcPr>
            <w:tcW w:type="dxa" w:w="3267"/>
            <w:vAlign w:val="center"/>
            <w:shd w:val="clear" w:color="auto" w:fill="F4F7FB"/>
          </w:tcPr>
          <w:p>
            <w:pPr>
              <w:spacing w:after="20"/>
            </w:pPr>
            <w:r/>
            <w:r>
              <w:rPr>
                <w:rFonts w:ascii="微软雅黑" w:hAnsi="微软雅黑" w:eastAsia="微软雅黑"/>
                <w:b w:val="0"/>
                <w:i w:val="0"/>
                <w:sz w:val="17"/>
              </w:rPr>
              <w:t>无额外成本</w:t>
            </w:r>
          </w:p>
        </w:tc>
        <w:tc>
          <w:tcPr>
            <w:tcW w:type="dxa" w:w="3267"/>
            <w:vAlign w:val="center"/>
            <w:shd w:val="clear" w:color="auto" w:fill="F4F7FB"/>
          </w:tcPr>
          <w:p>
            <w:pPr>
              <w:spacing w:after="20"/>
            </w:pPr>
            <w:r/>
            <w:r>
              <w:rPr>
                <w:rFonts w:ascii="微软雅黑" w:hAnsi="微软雅黑" w:eastAsia="微软雅黑"/>
                <w:b w:val="0"/>
                <w:i w:val="0"/>
                <w:sz w:val="17"/>
              </w:rPr>
              <w:t>难以形成连续记录、回顾与变化对照</w:t>
            </w:r>
          </w:p>
        </w:tc>
      </w:tr>
    </w:tbl>
    <w:p/>
    <w:p>
      <w:pPr>
        <w:spacing w:after="80" w:line="300" w:lineRule="auto"/>
      </w:pPr>
      <w:r>
        <w:rPr>
          <w:rFonts w:ascii="微软雅黑" w:hAnsi="微软雅黑" w:eastAsia="微软雅黑"/>
          <w:b w:val="0"/>
          <w:i w:val="0"/>
          <w:sz w:val="21"/>
        </w:rPr>
        <w:t>项目的创新不在于把 AI 当作诊断者，而在于：</w:t>
      </w:r>
    </w:p>
    <w:p>
      <w:pPr>
        <w:pStyle w:val="ListNumber"/>
        <w:spacing w:after="40"/>
      </w:pPr>
      <w:r>
        <w:rPr>
          <w:rFonts w:ascii="微软雅黑" w:hAnsi="微软雅黑" w:eastAsia="微软雅黑"/>
          <w:b w:val="0"/>
          <w:i w:val="0"/>
          <w:sz w:val="21"/>
        </w:rPr>
        <w:t>规则与生成分层： 可追溯规则负责判断，AI 负责受限表达，减少模型越权生成医疗结论的风险。</w:t>
      </w:r>
    </w:p>
    <w:p>
      <w:pPr>
        <w:pStyle w:val="ListNumber"/>
        <w:spacing w:after="40"/>
      </w:pPr>
      <w:r>
        <w:rPr>
          <w:rFonts w:ascii="微软雅黑" w:hAnsi="微软雅黑" w:eastAsia="微软雅黑"/>
          <w:b w:val="0"/>
          <w:i w:val="0"/>
          <w:sz w:val="21"/>
        </w:rPr>
        <w:t>从数据到行动的闭环： 将指标、原因、建议和 7 天计划串联，并支持后续记录对比。</w:t>
      </w:r>
    </w:p>
    <w:p>
      <w:pPr>
        <w:pStyle w:val="ListNumber"/>
        <w:spacing w:after="40"/>
      </w:pPr>
      <w:r>
        <w:rPr>
          <w:rFonts w:ascii="微软雅黑" w:hAnsi="微软雅黑" w:eastAsia="微软雅黑"/>
          <w:b w:val="0"/>
          <w:i w:val="0"/>
          <w:sz w:val="21"/>
        </w:rPr>
        <w:t>边界可见化： 在产品流程中持续强调非诊断定位、适用范围与线下咨询提示。</w:t>
      </w:r>
    </w:p>
    <w:p>
      <w:pPr>
        <w:spacing w:before="200" w:after="120"/>
      </w:pPr>
      <w:r>
        <w:rPr>
          <w:rFonts w:ascii="微软雅黑" w:hAnsi="微软雅黑" w:eastAsia="微软雅黑"/>
          <w:b/>
          <w:i w:val="0"/>
          <w:color w:val="2F5496"/>
          <w:sz w:val="26"/>
        </w:rPr>
        <w:t>八、发展路径与待验证事项</w:t>
      </w:r>
    </w:p>
    <w:p>
      <w:pPr>
        <w:spacing w:after="80" w:line="300" w:lineRule="auto"/>
      </w:pPr>
      <w:r>
        <w:rPr>
          <w:rFonts w:ascii="微软雅黑" w:hAnsi="微软雅黑" w:eastAsia="微软雅黑"/>
          <w:b w:val="0"/>
          <w:i w:val="0"/>
          <w:sz w:val="21"/>
        </w:rPr>
        <w:t>当前项目适合在健康教育、校园健康促进或企业健康活动等低风险展示场景中继续完善。任何涉及真实参与者的研究、测试或数据收集，都应先获得必要的授权、知情同意、隐私审查与专业复核。</w:t>
      </w:r>
    </w:p>
    <w:p>
      <w:pPr>
        <w:spacing w:after="80" w:line="300" w:lineRule="auto"/>
      </w:pPr>
      <w:r>
        <w:rPr>
          <w:rFonts w:ascii="微软雅黑" w:hAnsi="微软雅黑" w:eastAsia="微软雅黑"/>
          <w:b w:val="0"/>
          <w:i w:val="0"/>
          <w:sz w:val="21"/>
        </w:rPr>
        <w:t>后续优先验证的事项包括：</w:t>
      </w:r>
    </w:p>
    <w:p>
      <w:pPr>
        <w:pStyle w:val="ListNumber"/>
        <w:spacing w:after="40"/>
      </w:pPr>
      <w:r>
        <w:rPr>
          <w:rFonts w:ascii="微软雅黑" w:hAnsi="微软雅黑" w:eastAsia="微软雅黑"/>
          <w:b w:val="0"/>
          <w:i w:val="0"/>
          <w:sz w:val="21"/>
        </w:rPr>
        <w:t>用户能否独立完成录入并正确理解非诊断提示；</w:t>
      </w:r>
    </w:p>
    <w:p>
      <w:pPr>
        <w:pStyle w:val="ListNumber"/>
        <w:spacing w:after="40"/>
      </w:pPr>
      <w:r>
        <w:rPr>
          <w:rFonts w:ascii="微软雅黑" w:hAnsi="微软雅黑" w:eastAsia="微软雅黑"/>
          <w:b w:val="0"/>
          <w:i w:val="0"/>
          <w:sz w:val="21"/>
        </w:rPr>
        <w:t>用户是否理解规则解释和 7 天计划；</w:t>
      </w:r>
    </w:p>
    <w:p>
      <w:pPr>
        <w:pStyle w:val="ListNumber"/>
        <w:spacing w:after="40"/>
      </w:pPr>
      <w:r>
        <w:rPr>
          <w:rFonts w:ascii="微软雅黑" w:hAnsi="微软雅黑" w:eastAsia="微软雅黑"/>
          <w:b w:val="0"/>
          <w:i w:val="0"/>
          <w:sz w:val="21"/>
        </w:rPr>
        <w:t>隐私告知是否足够清楚；</w:t>
      </w:r>
    </w:p>
    <w:p>
      <w:pPr>
        <w:pStyle w:val="ListNumber"/>
        <w:spacing w:after="40"/>
      </w:pPr>
      <w:r>
        <w:rPr>
          <w:rFonts w:ascii="微软雅黑" w:hAnsi="微软雅黑" w:eastAsia="微软雅黑"/>
          <w:b w:val="0"/>
          <w:i w:val="0"/>
          <w:sz w:val="21"/>
        </w:rPr>
        <w:t>在专业人员复核后，规则阈值、文案和转介提示是否合适；</w:t>
      </w:r>
    </w:p>
    <w:p>
      <w:pPr>
        <w:pStyle w:val="ListNumber"/>
        <w:spacing w:after="40"/>
      </w:pPr>
      <w:r>
        <w:rPr>
          <w:rFonts w:ascii="微软雅黑" w:hAnsi="微软雅黑" w:eastAsia="微软雅黑"/>
          <w:b w:val="0"/>
          <w:i w:val="0"/>
          <w:sz w:val="21"/>
        </w:rPr>
        <w:t>删除、导出、保存期限与访问控制等数据治理机制是否完善。</w:t>
      </w:r>
    </w:p>
    <w:p>
      <w:pPr>
        <w:spacing w:before="200" w:after="120"/>
      </w:pPr>
      <w:r>
        <w:rPr>
          <w:rFonts w:ascii="微软雅黑" w:hAnsi="微软雅黑" w:eastAsia="微软雅黑"/>
          <w:b/>
          <w:i w:val="0"/>
          <w:color w:val="2F5496"/>
          <w:sz w:val="26"/>
        </w:rPr>
        <w:t>九、风险控制与合规原则</w:t>
      </w:r>
    </w:p>
    <w:tbl>
      <w:tblPr>
        <w:tblStyle w:val="TableGrid"/>
        <w:tblW w:type="auto" w:w="0"/>
        <w:jc w:val="center"/>
        <w:tblLook w:firstColumn="1" w:firstRow="1" w:lastColumn="0" w:lastRow="0" w:noHBand="0" w:noVBand="1" w:val="04A0"/>
      </w:tblPr>
      <w:tblGrid>
        <w:gridCol w:w="3267"/>
        <w:gridCol w:w="3267"/>
        <w:gridCol w:w="3267"/>
      </w:tblGrid>
      <w:tr>
        <w:tc>
          <w:tcPr>
            <w:tcW w:type="dxa" w:w="3267"/>
            <w:vAlign w:val="center"/>
            <w:shd w:val="clear" w:color="auto" w:fill="1F4E79"/>
          </w:tcPr>
          <w:p>
            <w:pPr>
              <w:spacing w:after="20"/>
            </w:pPr>
            <w:r/>
            <w:r>
              <w:rPr>
                <w:rFonts w:ascii="微软雅黑" w:hAnsi="微软雅黑" w:eastAsia="微软雅黑"/>
                <w:b/>
                <w:i w:val="0"/>
                <w:color w:val="FFFFFF"/>
                <w:sz w:val="17"/>
              </w:rPr>
              <w:t>风险</w:t>
            </w:r>
          </w:p>
        </w:tc>
        <w:tc>
          <w:tcPr>
            <w:tcW w:type="dxa" w:w="3267"/>
            <w:vAlign w:val="center"/>
            <w:shd w:val="clear" w:color="auto" w:fill="1F4E79"/>
          </w:tcPr>
          <w:p>
            <w:pPr>
              <w:spacing w:after="20"/>
            </w:pPr>
            <w:r/>
            <w:r>
              <w:rPr>
                <w:rFonts w:ascii="微软雅黑" w:hAnsi="微软雅黑" w:eastAsia="微软雅黑"/>
                <w:b/>
                <w:i w:val="0"/>
                <w:color w:val="FFFFFF"/>
                <w:sz w:val="17"/>
              </w:rPr>
              <w:t>当前控制措施</w:t>
            </w:r>
          </w:p>
        </w:tc>
        <w:tc>
          <w:tcPr>
            <w:tcW w:type="dxa" w:w="3267"/>
            <w:vAlign w:val="center"/>
            <w:shd w:val="clear" w:color="auto" w:fill="1F4E79"/>
          </w:tcPr>
          <w:p>
            <w:pPr>
              <w:spacing w:after="20"/>
            </w:pPr>
            <w:r/>
            <w:r>
              <w:rPr>
                <w:rFonts w:ascii="微软雅黑" w:hAnsi="微软雅黑" w:eastAsia="微软雅黑"/>
                <w:b/>
                <w:i w:val="0"/>
                <w:color w:val="FFFFFF"/>
                <w:sz w:val="17"/>
              </w:rPr>
              <w:t>后续要求</w:t>
            </w:r>
          </w:p>
        </w:tc>
      </w:tr>
      <w:tr>
        <w:tc>
          <w:tcPr>
            <w:tcW w:type="dxa" w:w="3267"/>
            <w:vAlign w:val="center"/>
            <w:shd w:val="clear" w:color="auto" w:fill="F4F7FB"/>
          </w:tcPr>
          <w:p>
            <w:pPr>
              <w:spacing w:after="20"/>
            </w:pPr>
            <w:r/>
            <w:r>
              <w:rPr>
                <w:rFonts w:ascii="微软雅黑" w:hAnsi="微软雅黑" w:eastAsia="微软雅黑"/>
                <w:b w:val="0"/>
                <w:i w:val="0"/>
                <w:sz w:val="17"/>
              </w:rPr>
              <w:t>医疗安全与误解</w:t>
            </w:r>
          </w:p>
        </w:tc>
        <w:tc>
          <w:tcPr>
            <w:tcW w:type="dxa" w:w="3267"/>
            <w:vAlign w:val="center"/>
            <w:shd w:val="clear" w:color="auto" w:fill="F4F7FB"/>
          </w:tcPr>
          <w:p>
            <w:pPr>
              <w:spacing w:after="20"/>
            </w:pPr>
            <w:r/>
            <w:r>
              <w:rPr>
                <w:rFonts w:ascii="微软雅黑" w:hAnsi="微软雅黑" w:eastAsia="微软雅黑"/>
                <w:b w:val="0"/>
                <w:i w:val="0"/>
                <w:sz w:val="17"/>
              </w:rPr>
              <w:t>非诊断定位；规则与生成分层；禁用诊断/处方表述；线下咨询提示</w:t>
            </w:r>
          </w:p>
        </w:tc>
        <w:tc>
          <w:tcPr>
            <w:tcW w:type="dxa" w:w="3267"/>
            <w:vAlign w:val="center"/>
            <w:shd w:val="clear" w:color="auto" w:fill="F4F7FB"/>
          </w:tcPr>
          <w:p>
            <w:pPr>
              <w:spacing w:after="20"/>
            </w:pPr>
            <w:r/>
            <w:r>
              <w:rPr>
                <w:rFonts w:ascii="微软雅黑" w:hAnsi="微软雅黑" w:eastAsia="微软雅黑"/>
                <w:b w:val="0"/>
                <w:i w:val="0"/>
                <w:sz w:val="17"/>
              </w:rPr>
              <w:t>由具备相应资质的专业人员复核阈值与文案</w:t>
            </w:r>
          </w:p>
        </w:tc>
      </w:tr>
      <w:tr>
        <w:tc>
          <w:tcPr>
            <w:tcW w:type="dxa" w:w="3267"/>
            <w:vAlign w:val="center"/>
          </w:tcPr>
          <w:p>
            <w:pPr>
              <w:spacing w:after="20"/>
            </w:pPr>
            <w:r/>
            <w:r>
              <w:rPr>
                <w:rFonts w:ascii="微软雅黑" w:hAnsi="微软雅黑" w:eastAsia="微软雅黑"/>
                <w:b w:val="0"/>
                <w:i w:val="0"/>
                <w:sz w:val="17"/>
              </w:rPr>
              <w:t>敏感个人信息</w:t>
            </w:r>
          </w:p>
        </w:tc>
        <w:tc>
          <w:tcPr>
            <w:tcW w:type="dxa" w:w="3267"/>
            <w:vAlign w:val="center"/>
          </w:tcPr>
          <w:p>
            <w:pPr>
              <w:spacing w:after="20"/>
            </w:pPr>
            <w:r/>
            <w:r>
              <w:rPr>
                <w:rFonts w:ascii="微软雅黑" w:hAnsi="微软雅黑" w:eastAsia="微软雅黑"/>
                <w:b w:val="0"/>
                <w:i w:val="0"/>
                <w:sz w:val="17"/>
              </w:rPr>
              <w:t>最小化收集；服务端保存密钥；本地数据库演示</w:t>
            </w:r>
          </w:p>
        </w:tc>
        <w:tc>
          <w:tcPr>
            <w:tcW w:type="dxa" w:w="3267"/>
            <w:vAlign w:val="center"/>
          </w:tcPr>
          <w:p>
            <w:pPr>
              <w:spacing w:after="20"/>
            </w:pPr>
            <w:r/>
            <w:r>
              <w:rPr>
                <w:rFonts w:ascii="微软雅黑" w:hAnsi="微软雅黑" w:eastAsia="微软雅黑"/>
                <w:b w:val="0"/>
                <w:i w:val="0"/>
                <w:sz w:val="17"/>
              </w:rPr>
              <w:t>建立单独告知/同意、保留期限、删除和访问控制机制</w:t>
            </w:r>
          </w:p>
        </w:tc>
      </w:tr>
      <w:tr>
        <w:tc>
          <w:tcPr>
            <w:tcW w:type="dxa" w:w="3267"/>
            <w:vAlign w:val="center"/>
            <w:shd w:val="clear" w:color="auto" w:fill="F4F7FB"/>
          </w:tcPr>
          <w:p>
            <w:pPr>
              <w:spacing w:after="20"/>
            </w:pPr>
            <w:r/>
            <w:r>
              <w:rPr>
                <w:rFonts w:ascii="微软雅黑" w:hAnsi="微软雅黑" w:eastAsia="微软雅黑"/>
                <w:b w:val="0"/>
                <w:i w:val="0"/>
                <w:sz w:val="17"/>
              </w:rPr>
              <w:t>AI 输出不稳定</w:t>
            </w:r>
          </w:p>
        </w:tc>
        <w:tc>
          <w:tcPr>
            <w:tcW w:type="dxa" w:w="3267"/>
            <w:vAlign w:val="center"/>
            <w:shd w:val="clear" w:color="auto" w:fill="F4F7FB"/>
          </w:tcPr>
          <w:p>
            <w:pPr>
              <w:spacing w:after="20"/>
            </w:pPr>
            <w:r/>
            <w:r>
              <w:rPr>
                <w:rFonts w:ascii="微软雅黑" w:hAnsi="微软雅黑" w:eastAsia="微软雅黑"/>
                <w:b w:val="0"/>
                <w:i w:val="0"/>
                <w:sz w:val="17"/>
              </w:rPr>
              <w:t>JSON 结构校验、分类校验、禁用词校验与重试</w:t>
            </w:r>
          </w:p>
        </w:tc>
        <w:tc>
          <w:tcPr>
            <w:tcW w:type="dxa" w:w="3267"/>
            <w:vAlign w:val="center"/>
            <w:shd w:val="clear" w:color="auto" w:fill="F4F7FB"/>
          </w:tcPr>
          <w:p>
            <w:pPr>
              <w:spacing w:after="20"/>
            </w:pPr>
            <w:r/>
            <w:r>
              <w:rPr>
                <w:rFonts w:ascii="微软雅黑" w:hAnsi="微软雅黑" w:eastAsia="微软雅黑"/>
                <w:b w:val="0"/>
                <w:i w:val="0"/>
                <w:sz w:val="17"/>
              </w:rPr>
              <w:t>增加人工抽检、失败降级和版本记录</w:t>
            </w:r>
          </w:p>
        </w:tc>
      </w:tr>
      <w:tr>
        <w:tc>
          <w:tcPr>
            <w:tcW w:type="dxa" w:w="3267"/>
            <w:vAlign w:val="center"/>
          </w:tcPr>
          <w:p>
            <w:pPr>
              <w:spacing w:after="20"/>
            </w:pPr>
            <w:r/>
            <w:r>
              <w:rPr>
                <w:rFonts w:ascii="微软雅黑" w:hAnsi="微软雅黑" w:eastAsia="微软雅黑"/>
                <w:b w:val="0"/>
                <w:i w:val="0"/>
                <w:sz w:val="17"/>
              </w:rPr>
              <w:t>证据不足</w:t>
            </w:r>
          </w:p>
        </w:tc>
        <w:tc>
          <w:tcPr>
            <w:tcW w:type="dxa" w:w="3267"/>
            <w:vAlign w:val="center"/>
          </w:tcPr>
          <w:p>
            <w:pPr>
              <w:spacing w:after="20"/>
            </w:pPr>
            <w:r/>
            <w:r>
              <w:rPr>
                <w:rFonts w:ascii="微软雅黑" w:hAnsi="微软雅黑" w:eastAsia="微软雅黑"/>
                <w:b w:val="0"/>
                <w:i w:val="0"/>
                <w:sz w:val="17"/>
              </w:rPr>
              <w:t>明确标注假设，不宣称真实成效</w:t>
            </w:r>
          </w:p>
        </w:tc>
        <w:tc>
          <w:tcPr>
            <w:tcW w:type="dxa" w:w="3267"/>
            <w:vAlign w:val="center"/>
          </w:tcPr>
          <w:p>
            <w:pPr>
              <w:spacing w:after="20"/>
            </w:pPr>
            <w:r/>
            <w:r>
              <w:rPr>
                <w:rFonts w:ascii="微软雅黑" w:hAnsi="微软雅黑" w:eastAsia="微软雅黑"/>
                <w:b w:val="0"/>
                <w:i w:val="0"/>
                <w:sz w:val="17"/>
              </w:rPr>
              <w:t>在合规前提下开展可用性与理解度验证</w:t>
            </w:r>
          </w:p>
        </w:tc>
      </w:tr>
      <w:tr>
        <w:tc>
          <w:tcPr>
            <w:tcW w:type="dxa" w:w="3267"/>
            <w:vAlign w:val="center"/>
            <w:shd w:val="clear" w:color="auto" w:fill="F4F7FB"/>
          </w:tcPr>
          <w:p>
            <w:pPr>
              <w:spacing w:after="20"/>
            </w:pPr>
            <w:r/>
            <w:r>
              <w:rPr>
                <w:rFonts w:ascii="微软雅黑" w:hAnsi="微软雅黑" w:eastAsia="微软雅黑"/>
                <w:b w:val="0"/>
                <w:i w:val="0"/>
                <w:sz w:val="17"/>
              </w:rPr>
              <w:t>外部模型不可用</w:t>
            </w:r>
          </w:p>
        </w:tc>
        <w:tc>
          <w:tcPr>
            <w:tcW w:type="dxa" w:w="3267"/>
            <w:vAlign w:val="center"/>
            <w:shd w:val="clear" w:color="auto" w:fill="F4F7FB"/>
          </w:tcPr>
          <w:p>
            <w:pPr>
              <w:spacing w:after="20"/>
            </w:pPr>
            <w:r/>
            <w:r>
              <w:rPr>
                <w:rFonts w:ascii="微软雅黑" w:hAnsi="微软雅黑" w:eastAsia="微软雅黑"/>
                <w:b w:val="0"/>
                <w:i w:val="0"/>
                <w:sz w:val="17"/>
              </w:rPr>
              <w:t>规则接口可独立运行和演示</w:t>
            </w:r>
          </w:p>
        </w:tc>
        <w:tc>
          <w:tcPr>
            <w:tcW w:type="dxa" w:w="3267"/>
            <w:vAlign w:val="center"/>
            <w:shd w:val="clear" w:color="auto" w:fill="F4F7FB"/>
          </w:tcPr>
          <w:p>
            <w:pPr>
              <w:spacing w:after="20"/>
            </w:pPr>
            <w:r/>
            <w:r>
              <w:rPr>
                <w:rFonts w:ascii="微软雅黑" w:hAnsi="微软雅黑" w:eastAsia="微软雅黑"/>
                <w:b w:val="0"/>
                <w:i w:val="0"/>
                <w:sz w:val="17"/>
              </w:rPr>
              <w:t>设计降级提示与服务可用性监控</w:t>
            </w:r>
          </w:p>
        </w:tc>
      </w:tr>
    </w:tbl>
    <w:p/>
    <w:p>
      <w:pPr>
        <w:spacing w:before="200" w:after="120"/>
      </w:pPr>
      <w:r>
        <w:rPr>
          <w:rFonts w:ascii="微软雅黑" w:hAnsi="微软雅黑" w:eastAsia="微软雅黑"/>
          <w:b/>
          <w:i w:val="0"/>
          <w:color w:val="2F5496"/>
          <w:sz w:val="26"/>
        </w:rPr>
        <w:t>十、阶段结论</w:t>
      </w:r>
    </w:p>
    <w:p>
      <w:pPr>
        <w:spacing w:after="80" w:line="300" w:lineRule="auto"/>
      </w:pPr>
      <w:r>
        <w:rPr>
          <w:rFonts w:ascii="微软雅黑" w:hAnsi="微软雅黑" w:eastAsia="微软雅黑"/>
          <w:b w:val="0"/>
          <w:i w:val="0"/>
          <w:sz w:val="21"/>
        </w:rPr>
        <w:t>CareAI 已完成一个可以演示的 MVP：它能够将成年用户自主录入的基础健康信息，通过可解释的本地规则和受限 AI，转化为非诊断性的健康教育提示、生活方式建议与 7 天行动计划，并支持历史回顾。</w:t>
      </w:r>
    </w:p>
    <w:p>
      <w:pPr>
        <w:spacing w:after="80" w:line="300" w:lineRule="auto"/>
      </w:pPr>
      <w:r>
        <w:rPr>
          <w:rFonts w:ascii="微软雅黑" w:hAnsi="微软雅黑" w:eastAsia="微软雅黑"/>
          <w:b w:val="0"/>
          <w:i w:val="0"/>
          <w:sz w:val="21"/>
        </w:rPr>
        <w:t>下一阶段的重点不是夸大产品效果，而是继续完善隐私治理、专业内容复核、AI 降级机制和合规的可用性验证。CareAI 的目标是成为健康教育中的辅助工具，而不是替代医疗服务。</w:t>
      </w:r>
    </w:p>
    <w:p>
      <w:pPr>
        <w:spacing w:before="200" w:after="120"/>
      </w:pPr>
      <w:r>
        <w:rPr>
          <w:rFonts w:ascii="微软雅黑" w:hAnsi="微软雅黑" w:eastAsia="微软雅黑"/>
          <w:b/>
          <w:i w:val="0"/>
          <w:color w:val="2F5496"/>
          <w:sz w:val="26"/>
        </w:rPr>
        <w:t>参考资料</w:t>
      </w:r>
    </w:p>
    <w:p>
      <w:pPr>
        <w:pStyle w:val="ListNumber"/>
        <w:spacing w:after="40"/>
      </w:pPr>
      <w:r>
        <w:rPr>
          <w:rFonts w:ascii="微软雅黑" w:hAnsi="微软雅黑" w:eastAsia="微软雅黑"/>
          <w:b w:val="0"/>
          <w:i w:val="0"/>
          <w:sz w:val="21"/>
        </w:rPr>
        <w:t>国家卫生健康委员会：《健康中国行动（2019—2030 年）》，http://www.nhc.gov.cn/xcs/s3581/201907/e9275fb95d5b4295be8308415d4cd1b2.shtml</w:t>
      </w:r>
    </w:p>
    <w:p>
      <w:pPr>
        <w:pStyle w:val="ListNumber"/>
        <w:spacing w:after="40"/>
      </w:pPr>
      <w:r>
        <w:rPr>
          <w:rFonts w:ascii="微软雅黑" w:hAnsi="微软雅黑" w:eastAsia="微软雅黑"/>
          <w:b w:val="0"/>
          <w:i w:val="0"/>
          <w:sz w:val="21"/>
        </w:rPr>
        <w:t>World Health Organization, *Physical activity*, https://www.who.int/news-room/fact-sheets/detail/physical-activity</w:t>
      </w:r>
    </w:p>
    <w:p>
      <w:pPr>
        <w:pStyle w:val="ListNumber"/>
        <w:spacing w:after="40"/>
      </w:pPr>
      <w:r>
        <w:rPr>
          <w:rFonts w:ascii="微软雅黑" w:hAnsi="微软雅黑" w:eastAsia="微软雅黑"/>
          <w:b w:val="0"/>
          <w:i w:val="0"/>
          <w:sz w:val="21"/>
        </w:rPr>
        <w:t>Centers for Disease Control and Prevention, *About Sleep and Your Health*, https://www.cdc.gov/sleep/about/index.html</w:t>
      </w:r>
    </w:p>
    <w:p>
      <w:pPr>
        <w:pStyle w:val="ListNumber"/>
        <w:spacing w:after="40"/>
      </w:pPr>
      <w:r>
        <w:rPr>
          <w:rFonts w:ascii="微软雅黑" w:hAnsi="微软雅黑" w:eastAsia="微软雅黑"/>
          <w:b w:val="0"/>
          <w:i w:val="0"/>
          <w:sz w:val="21"/>
        </w:rPr>
        <w:t>中国政府网：《中华人民共和国个人信息保护法》，https://www.gov.cn/xinwen/2021-08/20/content_5632486.htm</w:t>
      </w:r>
    </w:p>
    <w:sectPr w:rsidR="00FC693F" w:rsidRPr="0006063C" w:rsidSect="00034616">
      <w:pgSz w:w="12240" w:h="15840"/>
      <w:pgMar w:top="1191" w:right="113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