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PingFang SC" w:hAnsi="PingFang SC" w:eastAsia="PingFang SC"/>
          <w:b w:val="0"/>
        </w:rPr>
        <w:t>《助教1｜CareAI 项目成果展示》5 分钟讲稿</w:t>
      </w:r>
    </w:p>
    <w:p>
      <w:pPr>
        <w:jc w:val="center"/>
      </w:pPr>
      <w:r>
        <w:rPr>
          <w:rFonts w:ascii="PingFang SC" w:hAnsi="PingFang SC" w:eastAsia="PingFang SC"/>
          <w:color w:val="5A6978"/>
          <w:sz w:val="20"/>
        </w:rPr>
        <w:t>按 PPT 页序编排｜含时间与翻页提示</w:t>
      </w:r>
    </w:p>
    <w:p>
      <w:pPr>
        <w:pStyle w:val="Quote"/>
        <w:ind w:left="283"/>
      </w:pPr>
      <w:r>
        <w:rPr>
          <w:rFonts w:ascii="PingFang SC" w:hAnsi="PingFang SC" w:eastAsia="PingFang SC"/>
          <w:b w:val="0"/>
        </w:rPr>
        <w:t>按正式 6 页验收 PPT 编排。括号中的内容是时间和翻页提示，不需要念出来。</w:t>
      </w:r>
    </w:p>
    <w:p>
      <w:pPr>
        <w:pStyle w:val="Heading1"/>
      </w:pPr>
      <w:r>
        <w:t>第 1 页｜项目定位（0:00–0:35）</w:t>
      </w:r>
    </w:p>
    <w:p>
      <w:r>
        <w:rPr>
          <w:rFonts w:ascii="PingFang SC" w:hAnsi="PingFang SC" w:eastAsia="PingFang SC"/>
          <w:b w:val="0"/>
        </w:rPr>
        <w:t>各位老师好，我汇报的项目是 CareAI，一款面向成年学生和初入职场年轻人的非诊断性健康教育与习惯管理助手。它解决的不是疾病诊断，而是普通人看到睡眠、运动、体重等健康数据后，不清楚依据、不知道下一步怎样行动的问题。CareAI 当前是可演示的 MVP，目标是把零散数据转化为可解释、可执行、可以复盘的小行动。</w:t>
      </w:r>
    </w:p>
    <w:p>
      <w:pPr>
        <w:pStyle w:val="Heading1"/>
      </w:pPr>
      <w:r>
        <w:t>第 2 页｜从立项到最终版本（0:35–1:20）</w:t>
      </w:r>
    </w:p>
    <w:p>
      <w:r>
        <w:rPr>
          <w:rFonts w:ascii="PingFang SC" w:hAnsi="PingFang SC" w:eastAsia="PingFang SC"/>
          <w:b w:val="0"/>
        </w:rPr>
        <w:t>第一阶段的方向是基础录入、本地规则提示、受限 AI 解释和 7 天计划。后续加入个人档案隔离、时间轴、多点趋势、计划持久化与复盘。最终版本进一步加入理解确认、证据卡、单变量 7 天实验，以及隐私开关、导出和删除。我们保留了非诊断定位，并延期 OCR、设备和医疗系统接入。这样取舍，是因为当前最重要的是先证明用户能否看懂、能否安全使用，而不是过早扩大医疗能力。最终版本 24 项后端测试和前端生产构建均通过。</w:t>
      </w:r>
    </w:p>
    <w:p>
      <w:pPr>
        <w:pStyle w:val="Heading1"/>
      </w:pPr>
      <w:r>
        <w:t>第 3 页｜最终解决方案（1:20–2:05）</w:t>
      </w:r>
    </w:p>
    <w:p>
      <w:r>
        <w:rPr>
          <w:rFonts w:ascii="PingFang SC" w:hAnsi="PingFang SC" w:eastAsia="PingFang SC"/>
          <w:b w:val="0"/>
        </w:rPr>
        <w:t>完整流程分为五步。用户先记录基础健康信息；本地规则计算并给出三级关注提示；受限 AI 只解释规则已经确定的结果，不能新增诊断或风险；用户完成理解确认后，才能进入单变量 7 天行动计划；最后通过历史趋势、复盘和版本链观察变化。这里的关键是规则负责判断，AI 负责表达。CareAI 明确不处理急症、疾病诊断、治疗、处方、药物剂量和未成年人健康管理。</w:t>
      </w:r>
    </w:p>
    <w:p>
      <w:pPr>
        <w:pStyle w:val="Heading1"/>
      </w:pPr>
      <w:r>
        <w:t>第 4 页｜创新与阿福比较（2:05–2:55）</w:t>
      </w:r>
    </w:p>
    <w:p>
      <w:r>
        <w:rPr>
          <w:rFonts w:ascii="PingFang SC" w:hAnsi="PingFang SC" w:eastAsia="PingFang SC"/>
          <w:b w:val="0"/>
        </w:rPr>
        <w:t>我们把阿里的阿福作为替代方案参照。阿福的优势是家庭健康档案和健康服务生态，适合需要综合服务连接的用户。CareAI 选择更窄的细分体验：规则依据可以检查，AI 的权限受到限制，用户必须确认理解，每轮行动只改变一个变量。因此，如果用户需要完整平台生态，阿福更合适；如果课程、研究或健康教育场景更重视透明、可复核和行动实验，CareAI 有自己的特点。目前没有同条件真实用户比较，所以我们不宣称 CareAI 已经全面优于阿福。</w:t>
      </w:r>
    </w:p>
    <w:p>
      <w:pPr>
        <w:pStyle w:val="Heading1"/>
      </w:pPr>
      <w:r>
        <w:t>第 5 页｜证据与假设（2:55–3:55）</w:t>
      </w:r>
    </w:p>
    <w:p>
      <w:r>
        <w:rPr>
          <w:rFonts w:ascii="PingFang SC" w:hAnsi="PingFang SC" w:eastAsia="PingFang SC"/>
          <w:b w:val="0"/>
        </w:rPr>
        <w:t>我们把证据分为 F、I、H、S。F 是代码、产品流程、24 项测试和公开健康来源；I 是根据这些事实作出的推断，例如规则解释可能降低理解门槛；H 是仍待验证的假设，例如用户是否愿意持续记录、是否真正理解非诊断边界；S 是 Agent 模拟和课堂模拟评分，只能用于测试流程。CareAI 当前没有真实问卷、访谈、订单、收入、合作或临床验证。下一步会在完成授权和隐私审查后，邀请五到八名成年志愿者完成录入、边界复述和任务操作，记录完成率、耗时、误解点和人工求助。</w:t>
      </w:r>
    </w:p>
    <w:p>
      <w:pPr>
        <w:pStyle w:val="Heading1"/>
      </w:pPr>
      <w:r>
        <w:t>第 6 页｜可行性、风险与结论（3:55–5:00）</w:t>
      </w:r>
    </w:p>
    <w:p>
      <w:r>
        <w:rPr>
          <w:rFonts w:ascii="PingFang SC" w:hAnsi="PingFang SC" w:eastAsia="PingFang SC"/>
          <w:b w:val="0"/>
        </w:rPr>
        <w:t>技术方面，CareAI 已经形成 React、FastAPI、SQLite 和可独立运行的规则层闭环。实施顺序是先用于课堂 MVP，再做合规可用性测试，之后才由专业人员复核阈值和文案，并考虑低风险教育场景试点。主要风险有四类：医疗误解、敏感健康数据、模型或网络失败，以及缺少商业证据。对应措施包括非诊断声明、规则与生成分层、最小化数据、AI 关闭后的本地模式，以及把未知内容明确标成假设。CareAI 当前最有价值的成果，是把依据、理解、行动和边界放在同一个可检查的闭环中；目前最大的任务仍是验证用户理解、安全边界和持续使用。谢谢各位老师。</w:t>
      </w:r>
    </w:p>
    <w:p>
      <w:pPr>
        <w:pStyle w:val="Heading1"/>
      </w:pPr>
      <w:r>
        <w:t>现场追问提醒</w:t>
      </w:r>
    </w:p>
    <w:p>
      <w:pPr>
        <w:pStyle w:val="ListBullet"/>
      </w:pPr>
      <w:r>
        <w:rPr>
          <w:rFonts w:ascii="PingFang SC" w:hAnsi="PingFang SC" w:eastAsia="PingFang SC"/>
          <w:b w:val="0"/>
        </w:rPr>
        <w:t>最大假设：用户是否真正理解提示并愿意持续使用。</w:t>
      </w:r>
    </w:p>
    <w:p>
      <w:pPr>
        <w:pStyle w:val="ListBullet"/>
      </w:pPr>
      <w:r>
        <w:rPr>
          <w:rFonts w:ascii="PingFang SC" w:hAnsi="PingFang SC" w:eastAsia="PingFang SC"/>
          <w:b w:val="0"/>
        </w:rPr>
        <w:t>最大风险：健康建议被误解为诊断，以及敏感数据治理不足。</w:t>
      </w:r>
    </w:p>
    <w:p>
      <w:pPr>
        <w:pStyle w:val="ListBullet"/>
      </w:pPr>
      <w:r>
        <w:rPr>
          <w:rFonts w:ascii="PingFang SC" w:hAnsi="PingFang SC" w:eastAsia="PingFang SC"/>
          <w:b w:val="0"/>
        </w:rPr>
        <w:t>为什么延期 OCR／设备／医疗接入：先验证核心理解与行动闭环，再增加数据来源和合规复杂度。</w:t>
      </w:r>
    </w:p>
    <w:p>
      <w:pPr>
        <w:pStyle w:val="ListBullet"/>
      </w:pPr>
      <w:r>
        <w:rPr>
          <w:rFonts w:ascii="PingFang SC" w:hAnsi="PingFang SC" w:eastAsia="PingFang SC"/>
          <w:b w:val="0"/>
        </w:rPr>
        <w:t>为什么选择 CareAI：选择可解释、可验证的小范围问题，暂不追求阿福式综合生态。</w:t>
      </w:r>
    </w:p>
    <w:sectPr w:rsidR="00FC693F" w:rsidRPr="0006063C" w:rsidSect="00034616">
      <w:footerReference w:type="default" r:id="rId9"/>
      <w:pgSz w:w="11906" w:h="16838"/>
      <w:pgMar w:top="1020" w:right="1247" w:bottom="102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140"/>
    </w:pPr>
    <w:rPr>
      <w:rFonts w:ascii="PingFang SC" w:hAnsi="PingFang SC" w:eastAsia="PingFang SC"/>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PingFang SC" w:hAnsi="PingFang SC" w:eastAsia="PingFang SC"/>
      <w:b/>
      <w:bCs/>
      <w:color w:val="0F6B78"/>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PingFang SC" w:hAnsi="PingFang SC" w:eastAsia="PingFang SC"/>
      <w:b/>
      <w:bCs/>
      <w:color w:val="17324D"/>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PingFang SC" w:hAnsi="PingFang SC" w:eastAsia="PingFang SC"/>
      <w:color w:val="17324D"/>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