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CAMPUS EVENT MANAGEMENT SYSTEM</w:t>
      </w:r>
    </w:p>
    <w:p>
      <w:pPr>
        <w:jc w:val="center"/>
      </w:pPr>
      <w:r>
        <w:t>Assignment Option 1 — Final audit, flowchart, tests and evidence</w:t>
      </w:r>
    </w:p>
    <w:p>
      <w:pPr>
        <w:jc w:val="center"/>
      </w:pPr>
      <w:r>
        <w:rPr>
          <w:b/>
          <w:color w:val="15803D"/>
        </w:rPr>
        <w:t>93/93 automated tests PASS • 17 runtime assertions PASS • 90% coverage</w:t>
      </w:r>
    </w:p>
    <w:p>
      <w:r>
        <w:br w:type="page"/>
      </w:r>
    </w:p>
    <w:p>
      <w:pPr>
        <w:pStyle w:val="Heading1"/>
      </w:pPr>
      <w:r>
        <w:t>1. Kết luận kiểm tra</w:t>
      </w:r>
    </w:p>
    <w:p>
      <w:r>
        <w:t>Code đáp ứng đầy đủ yêu cầu Assignment Option 1. Tài liệu cũ trong ZIP chỉ phản ánh 63 test và chưa đồng bộ với password hashing/reminder; bộ tài liệu này đã được tạo lại. Audit cũng bổ sung validation và data-integrity checks, startup lỗi an toàn, hạn chế public Admin signup và update mô tả.</w:t>
      </w:r>
    </w:p>
    <w:p>
      <w:pPr>
        <w:pStyle w:val="Heading1"/>
      </w:pPr>
      <w:r>
        <w:t>2. Requirement traceability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Yêu cầu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Evidence</w:t>
            </w:r>
          </w:p>
        </w:tc>
      </w:tr>
      <w:tr>
        <w:tc>
          <w:tcPr>
            <w:tcW w:type="dxa" w:w="2160"/>
          </w:tcPr>
          <w:p>
            <w:r>
              <w:t>FR-ADMIN-01</w:t>
            </w:r>
          </w:p>
        </w:tc>
        <w:tc>
          <w:tcPr>
            <w:tcW w:type="dxa" w:w="2160"/>
          </w:tcPr>
          <w:p>
            <w:r>
              <w:t>Admin tạo sự kiện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>
              <w:t>create_event + CLI E2E</w:t>
            </w:r>
          </w:p>
        </w:tc>
      </w:tr>
      <w:tr>
        <w:tc>
          <w:tcPr>
            <w:tcW w:type="dxa" w:w="2160"/>
          </w:tcPr>
          <w:p>
            <w:r>
              <w:t>FR-ADMIN-02</w:t>
            </w:r>
          </w:p>
        </w:tc>
        <w:tc>
          <w:tcPr>
            <w:tcW w:type="dxa" w:w="2160"/>
          </w:tcPr>
          <w:p>
            <w:r>
              <w:t>Admin cập nhật sự kiện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>
              <w:t>update_event atomic + CLI</w:t>
            </w:r>
          </w:p>
        </w:tc>
      </w:tr>
      <w:tr>
        <w:tc>
          <w:tcPr>
            <w:tcW w:type="dxa" w:w="2160"/>
          </w:tcPr>
          <w:p>
            <w:r>
              <w:t>FR-ADMIN-03</w:t>
            </w:r>
          </w:p>
        </w:tc>
        <w:tc>
          <w:tcPr>
            <w:tcW w:type="dxa" w:w="2160"/>
          </w:tcPr>
          <w:p>
            <w:r>
              <w:t>Admin xóa sự kiện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>
              <w:t>delete_event + CLI E2E</w:t>
            </w:r>
          </w:p>
        </w:tc>
      </w:tr>
      <w:tr>
        <w:tc>
          <w:tcPr>
            <w:tcW w:type="dxa" w:w="2160"/>
          </w:tcPr>
          <w:p>
            <w:r>
              <w:t>FR-ADMIN-04</w:t>
            </w:r>
          </w:p>
        </w:tc>
        <w:tc>
          <w:tcPr>
            <w:tcW w:type="dxa" w:w="2160"/>
          </w:tcPr>
          <w:p>
            <w:r>
              <w:t>Admin xem tất cả event và attendee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>
              <w:t>Admin menu</w:t>
            </w:r>
          </w:p>
        </w:tc>
      </w:tr>
      <w:tr>
        <w:tc>
          <w:tcPr>
            <w:tcW w:type="dxa" w:w="2160"/>
          </w:tcPr>
          <w:p>
            <w:r>
              <w:t>FR-ORG-01</w:t>
            </w:r>
          </w:p>
        </w:tc>
        <w:tc>
          <w:tcPr>
            <w:tcW w:type="dxa" w:w="2160"/>
          </w:tcPr>
          <w:p>
            <w:r>
              <w:t>Organizer xem chi tiết event của mình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>
              <w:t>Ownership filter</w:t>
            </w:r>
          </w:p>
        </w:tc>
      </w:tr>
      <w:tr>
        <w:tc>
          <w:tcPr>
            <w:tcW w:type="dxa" w:w="2160"/>
          </w:tcPr>
          <w:p>
            <w:r>
              <w:t>FR-ORG-02</w:t>
            </w:r>
          </w:p>
        </w:tc>
        <w:tc>
          <w:tcPr>
            <w:tcW w:type="dxa" w:w="2160"/>
          </w:tcPr>
          <w:p>
            <w:r>
              <w:t>Organizer quản lý registration event của mình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>
              <w:t>RBAC manager</w:t>
            </w:r>
          </w:p>
        </w:tc>
      </w:tr>
      <w:tr>
        <w:tc>
          <w:tcPr>
            <w:tcW w:type="dxa" w:w="2160"/>
          </w:tcPr>
          <w:p>
            <w:r>
              <w:t>FR-STU-01</w:t>
            </w:r>
          </w:p>
        </w:tc>
        <w:tc>
          <w:tcPr>
            <w:tcW w:type="dxa" w:w="2160"/>
          </w:tcPr>
          <w:p>
            <w:r>
              <w:t>Student/Visitor tìm kiếm sự kiện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>
              <w:t>Tên/mô tả/ngày/còn chỗ</w:t>
            </w:r>
          </w:p>
        </w:tc>
      </w:tr>
      <w:tr>
        <w:tc>
          <w:tcPr>
            <w:tcW w:type="dxa" w:w="2160"/>
          </w:tcPr>
          <w:p>
            <w:r>
              <w:t>FR-STU-02</w:t>
            </w:r>
          </w:p>
        </w:tc>
        <w:tc>
          <w:tcPr>
            <w:tcW w:type="dxa" w:w="2160"/>
          </w:tcPr>
          <w:p>
            <w:r>
              <w:t>Student/Visitor đăng ký và hủy đăng ký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>
              <w:t>Self-only RBAC</w:t>
            </w:r>
          </w:p>
        </w:tc>
      </w:tr>
      <w:tr>
        <w:tc>
          <w:tcPr>
            <w:tcW w:type="dxa" w:w="2160"/>
          </w:tcPr>
          <w:p>
            <w:r>
              <w:t>FR-STU-03</w:t>
            </w:r>
          </w:p>
        </w:tc>
        <w:tc>
          <w:tcPr>
            <w:tcW w:type="dxa" w:w="2160"/>
          </w:tcPr>
          <w:p>
            <w:r>
              <w:t>Student/Visitor xem event đã đăng ký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>
              <w:t>events_for_attendee</w:t>
            </w:r>
          </w:p>
        </w:tc>
      </w:tr>
      <w:tr>
        <w:tc>
          <w:tcPr>
            <w:tcW w:type="dxa" w:w="2160"/>
          </w:tcPr>
          <w:p>
            <w:r>
              <w:t>FR-VAL-01</w:t>
            </w:r>
          </w:p>
        </w:tc>
        <w:tc>
          <w:tcPr>
            <w:tcW w:type="dxa" w:w="2160"/>
          </w:tcPr>
          <w:p>
            <w:r>
              <w:t>Validate tên, ngày, sức chứa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>
              <w:t>Boundary tests</w:t>
            </w:r>
          </w:p>
        </w:tc>
      </w:tr>
      <w:tr>
        <w:tc>
          <w:tcPr>
            <w:tcW w:type="dxa" w:w="2160"/>
          </w:tcPr>
          <w:p>
            <w:r>
              <w:t>FR-REG-01</w:t>
            </w:r>
          </w:p>
        </w:tc>
        <w:tc>
          <w:tcPr>
            <w:tcW w:type="dxa" w:w="2160"/>
          </w:tcPr>
          <w:p>
            <w:r>
              <w:t>Capacity check, confirmation, chống trùng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>
              <w:t>Custom exceptions</w:t>
            </w:r>
          </w:p>
        </w:tc>
      </w:tr>
      <w:tr>
        <w:tc>
          <w:tcPr>
            <w:tcW w:type="dxa" w:w="2160"/>
          </w:tcPr>
          <w:p>
            <w:r>
              <w:t>FR-STAT-01</w:t>
            </w:r>
          </w:p>
        </w:tc>
        <w:tc>
          <w:tcPr>
            <w:tcW w:type="dxa" w:w="2160"/>
          </w:tcPr>
          <w:p>
            <w:r>
              <w:t>Tổng attendee, event cao/thấp nhất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>
              <w:t>Tie/empty-state tests</w:t>
            </w:r>
          </w:p>
        </w:tc>
      </w:tr>
      <w:tr>
        <w:tc>
          <w:tcPr>
            <w:tcW w:type="dxa" w:w="2160"/>
          </w:tcPr>
          <w:p>
            <w:r>
              <w:t>FR-DATA-01</w:t>
            </w:r>
          </w:p>
        </w:tc>
        <w:tc>
          <w:tcPr>
            <w:tcW w:type="dxa" w:w="2160"/>
          </w:tcPr>
          <w:p>
            <w:r>
              <w:t>Lưu users/events bằng file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>
              <w:t>JSON atomic persistence</w:t>
            </w:r>
          </w:p>
        </w:tc>
      </w:tr>
      <w:tr>
        <w:tc>
          <w:tcPr>
            <w:tcW w:type="dxa" w:w="2160"/>
          </w:tcPr>
          <w:p>
            <w:r>
              <w:t>FR-DATA-02</w:t>
            </w:r>
          </w:p>
        </w:tc>
        <w:tc>
          <w:tcPr>
            <w:tcW w:type="dxa" w:w="2160"/>
          </w:tcPr>
          <w:p>
            <w:r>
              <w:t>Xuất báo cáo thống kê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>
              <w:t>UTF-8 BOM CSV + status</w:t>
            </w:r>
          </w:p>
        </w:tc>
      </w:tr>
      <w:tr>
        <w:tc>
          <w:tcPr>
            <w:tcW w:type="dxa" w:w="2160"/>
          </w:tcPr>
          <w:p>
            <w:r>
              <w:t>NFR-OOP-01</w:t>
            </w:r>
          </w:p>
        </w:tc>
        <w:tc>
          <w:tcPr>
            <w:tcW w:type="dxa" w:w="2160"/>
          </w:tcPr>
          <w:p>
            <w:r>
              <w:t>OOP, kế thừa, đa hình, module hóa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>
              <w:t>User hierarchy/managers</w:t>
            </w:r>
          </w:p>
        </w:tc>
      </w:tr>
      <w:tr>
        <w:tc>
          <w:tcPr>
            <w:tcW w:type="dxa" w:w="2160"/>
          </w:tcPr>
          <w:p>
            <w:r>
              <w:t>NFR-DOC-01</w:t>
            </w:r>
          </w:p>
        </w:tc>
        <w:tc>
          <w:tcPr>
            <w:tcW w:type="dxa" w:w="2160"/>
          </w:tcPr>
          <w:p>
            <w:r>
              <w:t>Flowchart và mô tả class/method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>
              <w:t>PNG/Mermaid/report</w:t>
            </w:r>
          </w:p>
        </w:tc>
      </w:tr>
      <w:tr>
        <w:tc>
          <w:tcPr>
            <w:tcW w:type="dxa" w:w="2160"/>
          </w:tcPr>
          <w:p>
            <w:r>
              <w:t>NFR-DOC-02</w:t>
            </w:r>
          </w:p>
        </w:tc>
        <w:tc>
          <w:tcPr>
            <w:tcW w:type="dxa" w:w="2160"/>
          </w:tcPr>
          <w:p>
            <w:r>
              <w:t>Screenshot cho từng vai trò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>
              <w:t>3 role screenshots</w:t>
            </w:r>
          </w:p>
        </w:tc>
      </w:tr>
      <w:tr>
        <w:tc>
          <w:tcPr>
            <w:tcW w:type="dxa" w:w="2160"/>
          </w:tcPr>
          <w:p>
            <w:r>
              <w:t>CR-REMINDER</w:t>
            </w:r>
          </w:p>
        </w:tc>
        <w:tc>
          <w:tcPr>
            <w:tcW w:type="dxa" w:w="2160"/>
          </w:tcPr>
          <w:p>
            <w:r>
              <w:t>Tính năng sáng tạo: nhắc lịch 7 ngày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>
              <w:t>Login reminder</w:t>
            </w:r>
          </w:p>
        </w:tc>
      </w:tr>
      <w:tr>
        <w:tc>
          <w:tcPr>
            <w:tcW w:type="dxa" w:w="2160"/>
          </w:tcPr>
          <w:p>
            <w:r>
              <w:t>NFR-SEC</w:t>
            </w:r>
          </w:p>
        </w:tc>
        <w:tc>
          <w:tcPr>
            <w:tcW w:type="dxa" w:w="2160"/>
          </w:tcPr>
          <w:p>
            <w:r>
              <w:t>Mật khẩu băm, không public Admin signup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>
              <w:t>PBKDF2 + CLI restriction</w:t>
            </w:r>
          </w:p>
        </w:tc>
      </w:tr>
    </w:tbl>
    <w:p>
      <w:r>
        <w:br w:type="page"/>
      </w:r>
    </w:p>
    <w:p>
      <w:pPr>
        <w:pStyle w:val="Heading1"/>
      </w:pPr>
      <w:r>
        <w:t>3. User interaction flowchart</w:t>
      </w:r>
    </w:p>
    <w:p>
      <w:r>
        <w:drawing>
          <wp:inline xmlns:a="http://schemas.openxmlformats.org/drawingml/2006/main" xmlns:pic="http://schemas.openxmlformats.org/drawingml/2006/picture">
            <wp:extent cx="6126480" cy="729342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7293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4. Class diagram</w:t>
      </w:r>
    </w:p>
    <w:p>
      <w:r>
        <w:drawing>
          <wp:inline xmlns:a="http://schemas.openxmlformats.org/drawingml/2006/main" xmlns:pic="http://schemas.openxmlformats.org/drawingml/2006/picture">
            <wp:extent cx="6126480" cy="437605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ss_diagra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3760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5. Test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Category</w:t>
            </w:r>
          </w:p>
        </w:tc>
        <w:tc>
          <w:tcPr>
            <w:tcW w:type="dxa" w:w="2880"/>
          </w:tcPr>
          <w:p>
            <w:r>
              <w:t>Cases</w:t>
            </w:r>
          </w:p>
        </w:tc>
        <w:tc>
          <w:tcPr>
            <w:tcW w:type="dxa" w:w="2880"/>
          </w:tcPr>
          <w:p>
            <w:r>
              <w:t>Result</w:t>
            </w:r>
          </w:p>
        </w:tc>
      </w:tr>
      <w:tr>
        <w:tc>
          <w:tcPr>
            <w:tcW w:type="dxa" w:w="2880"/>
          </w:tcPr>
          <w:p>
            <w:r>
              <w:t>Input validation</w:t>
            </w:r>
          </w:p>
        </w:tc>
        <w:tc>
          <w:tcPr>
            <w:tcW w:type="dxa" w:w="2880"/>
          </w:tcPr>
          <w:p>
            <w:r>
              <w:t>17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  <w:tr>
        <w:tc>
          <w:tcPr>
            <w:tcW w:type="dxa" w:w="2880"/>
          </w:tcPr>
          <w:p>
            <w:r>
              <w:t>Authentication &amp; persisted users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  <w:tr>
        <w:tc>
          <w:tcPr>
            <w:tcW w:type="dxa" w:w="2880"/>
          </w:tcPr>
          <w:p>
            <w:r>
              <w:t>Password security &amp; public signup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  <w:tr>
        <w:tc>
          <w:tcPr>
            <w:tcW w:type="dxa" w:w="2880"/>
          </w:tcPr>
          <w:p>
            <w:r>
              <w:t>RBAC &amp; event CRUD</w:t>
            </w:r>
          </w:p>
        </w:tc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  <w:tr>
        <w:tc>
          <w:tcPr>
            <w:tcW w:type="dxa" w:w="2880"/>
          </w:tcPr>
          <w:p>
            <w:r>
              <w:t>Attendee registration</w:t>
            </w:r>
          </w:p>
        </w:tc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  <w:tr>
        <w:tc>
          <w:tcPr>
            <w:tcW w:type="dxa" w:w="2880"/>
          </w:tcPr>
          <w:p>
            <w:r>
              <w:t>Search, reports &amp; persistence</w:t>
            </w:r>
          </w:p>
        </w:tc>
        <w:tc>
          <w:tcPr>
            <w:tcW w:type="dxa" w:w="2880"/>
          </w:tcPr>
          <w:p>
            <w:r>
              <w:t>22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  <w:tr>
        <w:tc>
          <w:tcPr>
            <w:tcW w:type="dxa" w:w="2880"/>
          </w:tcPr>
          <w:p>
            <w:r>
              <w:t>Automated reminders</w:t>
            </w:r>
          </w:p>
        </w:tc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  <w:tr>
        <w:tc>
          <w:tcPr>
            <w:tcW w:type="dxa" w:w="2880"/>
          </w:tcPr>
          <w:p>
            <w:r>
              <w:t>TOTAL</w:t>
            </w:r>
          </w:p>
        </w:tc>
        <w:tc>
          <w:tcPr>
            <w:tcW w:type="dxa" w:w="2880"/>
          </w:tcPr>
          <w:p>
            <w:r>
              <w:t>93</w:t>
            </w:r>
          </w:p>
        </w:tc>
        <w:tc>
          <w:tcPr>
            <w:tcW w:type="dxa" w:w="2880"/>
          </w:tcPr>
          <w:p>
            <w:r>
              <w:t>93/93 PASS</w:t>
            </w:r>
          </w:p>
        </w:tc>
      </w:tr>
    </w:tbl>
    <w:p>
      <w:r>
        <w:t>py_compile PASS; flake8 PASS; 17 CLI assertions PASS; corrupted-data startup safe; branch-inclusive source coverage 90%.</w:t>
      </w:r>
    </w:p>
    <w:p>
      <w:r>
        <w:br w:type="page"/>
      </w:r>
    </w:p>
    <w:p>
      <w:pPr>
        <w:pStyle w:val="Heading1"/>
      </w:pPr>
      <w:r>
        <w:t>6. Admin evidence</w:t>
      </w:r>
    </w:p>
    <w:p>
      <w:r>
        <w:drawing>
          <wp:inline xmlns:a="http://schemas.openxmlformats.org/drawingml/2006/main" xmlns:pic="http://schemas.openxmlformats.org/drawingml/2006/picture">
            <wp:extent cx="6126480" cy="38290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admi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29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7. Event Organizer evidence</w:t>
      </w:r>
    </w:p>
    <w:p>
      <w:r>
        <w:drawing>
          <wp:inline xmlns:a="http://schemas.openxmlformats.org/drawingml/2006/main" xmlns:pic="http://schemas.openxmlformats.org/drawingml/2006/picture">
            <wp:extent cx="6126480" cy="38290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organize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29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8. Student/Visitor evidence</w:t>
      </w:r>
    </w:p>
    <w:p>
      <w:r>
        <w:drawing>
          <wp:inline xmlns:a="http://schemas.openxmlformats.org/drawingml/2006/main" xmlns:pic="http://schemas.openxmlformats.org/drawingml/2006/picture">
            <wp:extent cx="6126480" cy="382905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studen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29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9. Run instructions</w:t>
      </w:r>
    </w:p>
    <w:p>
      <w:r>
        <w:t>python3 main.py</w:t>
      </w:r>
    </w:p>
    <w:p>
      <w:r>
        <w:t>python3 -m unittest -v test_system.py</w:t>
      </w:r>
    </w:p>
    <w:p>
      <w:r>
        <w:t>Demo Admin: admin / admin123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jaVu Sans" w:hAnsi="DejaVu San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