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DỮ LIỆU TỔNG HỢP ĐỂ KIỂM TRA WIRING, KHÔNG PHẢI HỢP ĐỒNG THẬT.</w:t>
      </w:r>
    </w:p>
    <w:p>
      <w:r>
        <w:t xml:space="preserve">{"loai_hop_dong_id": "MB_CAN_HO_CHUNG_CU", "linh_vuc": "NHA_O", "he_phap_luat": "VIET_NAM", "muc_dich_giao_dich": "TIEU_DUNG_KHONG_THUONG_MAI", "la_hop_dong_theo_mau": true}</w:t>
      </w:r>
    </w:p>
    <w:p>
      <w:r>
        <w:t xml:space="preserve">Nội dung minh họa; proposed findings và gates là fixture, chưa kiểm chứng.</w:t>
      </w:r>
    </w:p>
    <w:p>
      <w:r>
        <w:t xml:space="preserve">Viện dẫn minh họa: 19/2023/QH15.</w:t>
      </w:r>
    </w:p>
    <w:sectPr/>
  </w:body>
</w:document>
</file>