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精细化工行业MES系统UI设计规范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文档属性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>
            <w:r>
              <w:t>V1.0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创建日期</w:t>
            </w:r>
          </w:p>
        </w:tc>
        <w:tc>
          <w:tcPr>
            <w:tcW w:w="4153" w:type="dxa"/>
          </w:tcPr>
          <w:p>
            <w:r>
              <w:t>2026-07-31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草稿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关联文档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《精细化工行业MES系统PRD文档》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设计理念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设计原则</w:t>
      </w:r>
    </w:p>
    <w:p>
      <w:r>
        <w:rPr>
          <w:rFonts w:hint="eastAsia"/>
        </w:rPr>
        <w:t>本系统面向精细化工和制药企业，用户在车间环境中使用，UI设计需遵循以下六大原则：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原则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英文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核心要求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安全优先</w:t>
            </w:r>
          </w:p>
        </w:tc>
        <w:tc>
          <w:tcPr>
            <w:tcW w:w="2768" w:type="dxa"/>
          </w:tcPr>
          <w:p>
            <w:r>
              <w:t>Safety-first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状态信息即时可辨，预警分级色彩明确，阻断操作醒目提示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高对比可读</w:t>
            </w:r>
          </w:p>
        </w:tc>
        <w:tc>
          <w:tcPr>
            <w:tcW w:w="2768" w:type="dxa"/>
          </w:tcPr>
          <w:p>
            <w:r>
              <w:t>High contrast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适应车间强光/弱光环境，文字最小14px起步，关键数据加粗高亮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触控友好</w:t>
            </w:r>
          </w:p>
        </w:tc>
        <w:tc>
          <w:tcPr>
            <w:tcW w:w="2768" w:type="dxa"/>
          </w:tcPr>
          <w:p>
            <w:r>
              <w:t>Touch-friendly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适配戴手套操作场景，点击区域≥44×44px，间距充足防误触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信息分层</w:t>
            </w:r>
          </w:p>
        </w:tc>
        <w:tc>
          <w:tcPr>
            <w:tcW w:w="2768" w:type="dxa"/>
          </w:tcPr>
          <w:p>
            <w:r>
              <w:t>Info hierarchy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关键指标首屏可见，详情逐级下钻，监控大屏信息聚合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一致性</w:t>
            </w:r>
          </w:p>
        </w:tc>
        <w:tc>
          <w:tcPr>
            <w:tcW w:w="2768" w:type="dxa"/>
          </w:tcPr>
          <w:p>
            <w:r>
              <w:t>Consistency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统一组件库与图标体系，操作模式全局统一，命名规则一致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多端适配</w:t>
            </w:r>
          </w:p>
        </w:tc>
        <w:tc>
          <w:tcPr>
            <w:tcW w:w="2768" w:type="dxa"/>
          </w:tcPr>
          <w:p>
            <w:r>
              <w:t>Multi-device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桌面端（管理分析）、平板端（车间执行）、大屏端（实时监控）三端覆盖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核心目标</w:t>
      </w:r>
    </w:p>
    <w:p>
      <w:r>
        <w:rPr>
          <w:rFonts w:hint="eastAsia"/>
        </w:rPr>
        <w:t>让操作人员在复杂车间环境中快速、准确地获取信息并执行操作，减少人为失误，保障安全、质量、环保管控有效落地。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色彩体系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主色 Primary</w:t>
      </w:r>
    </w:p>
    <w:p>
      <w:r>
        <w:rPr>
          <w:rFonts w:hint="eastAsia"/>
        </w:rPr>
        <w:t>工业蓝 — 传达专业、可靠、科技感，用于导航栏、主按钮、选中态。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色阶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色值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</w:tcPr>
          <w:p>
            <w:r>
              <w:t>50</w:t>
            </w:r>
          </w:p>
        </w:tc>
        <w:tc>
          <w:tcPr>
            <w:tcW w:w="2768" w:type="dxa"/>
          </w:tcPr>
          <w:p>
            <w:r>
              <w:t>#E6F1FB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选中态背景、信息提示底色</w:t>
            </w:r>
          </w:p>
        </w:tc>
      </w:tr>
      <w:tr>
        <w:trPr/>
        <w:tc>
          <w:tcPr>
            <w:tcW w:w="2768" w:type="dxa"/>
          </w:tcPr>
          <w:p>
            <w:r>
              <w:t>200</w:t>
            </w:r>
          </w:p>
        </w:tc>
        <w:tc>
          <w:tcPr>
            <w:tcW w:w="2768" w:type="dxa"/>
          </w:tcPr>
          <w:p>
            <w:r>
              <w:t>#B5D4F4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悬浮态背景</w:t>
            </w:r>
          </w:p>
        </w:tc>
      </w:tr>
      <w:tr>
        <w:trPr/>
        <w:tc>
          <w:tcPr>
            <w:tcW w:w="2768" w:type="dxa"/>
          </w:tcPr>
          <w:p>
            <w:r>
              <w:t>400</w:t>
            </w:r>
          </w:p>
        </w:tc>
        <w:tc>
          <w:tcPr>
            <w:tcW w:w="2768" w:type="dxa"/>
          </w:tcPr>
          <w:p>
            <w:r>
              <w:t>#378ADD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链接文字、图标高亮</w:t>
            </w:r>
          </w:p>
        </w:tc>
      </w:tr>
      <w:tr>
        <w:trPr/>
        <w:tc>
          <w:tcPr>
            <w:tcW w:w="2768" w:type="dxa"/>
          </w:tcPr>
          <w:p>
            <w:r>
              <w:t>600</w:t>
            </w:r>
          </w:p>
        </w:tc>
        <w:tc>
          <w:tcPr>
            <w:tcW w:w="2768" w:type="dxa"/>
          </w:tcPr>
          <w:p>
            <w:r>
              <w:t>#185FA5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主按钮、强调图标</w:t>
            </w:r>
          </w:p>
        </w:tc>
      </w:tr>
      <w:tr>
        <w:trPr/>
        <w:tc>
          <w:tcPr>
            <w:tcW w:w="2768" w:type="dxa"/>
          </w:tcPr>
          <w:p>
            <w:r>
              <w:t>800</w:t>
            </w:r>
          </w:p>
        </w:tc>
        <w:tc>
          <w:tcPr>
            <w:tcW w:w="2768" w:type="dxa"/>
          </w:tcPr>
          <w:p>
            <w:r>
              <w:t>#0C447C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侧边导航栏背景</w:t>
            </w:r>
          </w:p>
        </w:tc>
      </w:tr>
      <w:tr>
        <w:trPr/>
        <w:tc>
          <w:tcPr>
            <w:tcW w:w="2768" w:type="dxa"/>
          </w:tcPr>
          <w:p>
            <w:r>
              <w:t>900</w:t>
            </w:r>
          </w:p>
        </w:tc>
        <w:tc>
          <w:tcPr>
            <w:tcW w:w="2768" w:type="dxa"/>
          </w:tcPr>
          <w:p>
            <w:r>
              <w:t>#042C53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深色标题文字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状态色 Status — 安质环管控核心</w:t>
      </w:r>
    </w:p>
    <w:p>
      <w:r>
        <w:rPr>
          <w:rFonts w:hint="eastAsia"/>
        </w:rPr>
        <w:t>四级预警体系，直接对应PRD中"提示/警告/阻断/正常"四种监控状态：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主色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浅底色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文字色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正常</w:t>
            </w:r>
          </w:p>
        </w:tc>
        <w:tc>
          <w:tcPr>
            <w:tcW w:w="1384" w:type="dxa"/>
          </w:tcPr>
          <w:p>
            <w:r>
              <w:t>Normal</w:t>
            </w:r>
          </w:p>
        </w:tc>
        <w:tc>
          <w:tcPr>
            <w:tcW w:w="1384" w:type="dxa"/>
          </w:tcPr>
          <w:p>
            <w:r>
              <w:t>#1D9E75</w:t>
            </w:r>
          </w:p>
        </w:tc>
        <w:tc>
          <w:tcPr>
            <w:tcW w:w="1384" w:type="dxa"/>
          </w:tcPr>
          <w:p>
            <w:r>
              <w:t>#E1F5EE</w:t>
            </w:r>
          </w:p>
        </w:tc>
        <w:tc>
          <w:tcPr>
            <w:tcW w:w="1384" w:type="dxa"/>
          </w:tcPr>
          <w:p>
            <w:r>
              <w:t>#085041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运行正常/检验通过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提示</w:t>
            </w:r>
          </w:p>
        </w:tc>
        <w:tc>
          <w:tcPr>
            <w:tcW w:w="1384" w:type="dxa"/>
          </w:tcPr>
          <w:p>
            <w:r>
              <w:t>Info</w:t>
            </w:r>
          </w:p>
        </w:tc>
        <w:tc>
          <w:tcPr>
            <w:tcW w:w="1384" w:type="dxa"/>
          </w:tcPr>
          <w:p>
            <w:r>
              <w:t>#EF9F27</w:t>
            </w:r>
          </w:p>
        </w:tc>
        <w:tc>
          <w:tcPr>
            <w:tcW w:w="1384" w:type="dxa"/>
          </w:tcPr>
          <w:p>
            <w:r>
              <w:t>#FAEEDA</w:t>
            </w:r>
          </w:p>
        </w:tc>
        <w:tc>
          <w:tcPr>
            <w:tcW w:w="1384" w:type="dxa"/>
          </w:tcPr>
          <w:p>
            <w:r>
              <w:t>#633806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轻微偏差提醒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警告</w:t>
            </w:r>
          </w:p>
        </w:tc>
        <w:tc>
          <w:tcPr>
            <w:tcW w:w="1384" w:type="dxa"/>
          </w:tcPr>
          <w:p>
            <w:r>
              <w:t>Warning</w:t>
            </w:r>
          </w:p>
        </w:tc>
        <w:tc>
          <w:tcPr>
            <w:tcW w:w="1384" w:type="dxa"/>
          </w:tcPr>
          <w:p>
            <w:r>
              <w:t>#D85A30</w:t>
            </w:r>
          </w:p>
        </w:tc>
        <w:tc>
          <w:tcPr>
            <w:tcW w:w="1384" w:type="dxa"/>
          </w:tcPr>
          <w:p>
            <w:r>
              <w:t>#FAECE7</w:t>
            </w:r>
          </w:p>
        </w:tc>
        <w:tc>
          <w:tcPr>
            <w:tcW w:w="1384" w:type="dxa"/>
          </w:tcPr>
          <w:p>
            <w:r>
              <w:t>#712B13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违规操作告警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阻断</w:t>
            </w:r>
          </w:p>
        </w:tc>
        <w:tc>
          <w:tcPr>
            <w:tcW w:w="1384" w:type="dxa"/>
          </w:tcPr>
          <w:p>
            <w:r>
              <w:t>Block</w:t>
            </w:r>
          </w:p>
        </w:tc>
        <w:tc>
          <w:tcPr>
            <w:tcW w:w="1384" w:type="dxa"/>
          </w:tcPr>
          <w:p>
            <w:r>
              <w:t>#E24B4A</w:t>
            </w:r>
          </w:p>
        </w:tc>
        <w:tc>
          <w:tcPr>
            <w:tcW w:w="1384" w:type="dxa"/>
          </w:tcPr>
          <w:p>
            <w:r>
              <w:t>#FCEBEB</w:t>
            </w:r>
          </w:p>
        </w:tc>
        <w:tc>
          <w:tcPr>
            <w:tcW w:w="1384" w:type="dxa"/>
          </w:tcPr>
          <w:p>
            <w:r>
              <w:t>#501313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阻断操作/急停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中性色 Neutral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色名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色值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</w:tcPr>
          <w:p>
            <w:r>
              <w:t>White</w:t>
            </w:r>
          </w:p>
        </w:tc>
        <w:tc>
          <w:tcPr>
            <w:tcW w:w="2768" w:type="dxa"/>
          </w:tcPr>
          <w:p>
            <w:r>
              <w:t>#FFFFFF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卡片背景、内容区底色</w:t>
            </w:r>
          </w:p>
        </w:tc>
      </w:tr>
      <w:tr>
        <w:trPr/>
        <w:tc>
          <w:tcPr>
            <w:tcW w:w="2768" w:type="dxa"/>
          </w:tcPr>
          <w:p>
            <w:r>
              <w:t>Bg-page</w:t>
            </w:r>
          </w:p>
        </w:tc>
        <w:tc>
          <w:tcPr>
            <w:tcW w:w="2768" w:type="dxa"/>
          </w:tcPr>
          <w:p>
            <w:r>
              <w:t>#F1EFE8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页面背景</w:t>
            </w:r>
          </w:p>
        </w:tc>
      </w:tr>
      <w:tr>
        <w:trPr/>
        <w:tc>
          <w:tcPr>
            <w:tcW w:w="2768" w:type="dxa"/>
          </w:tcPr>
          <w:p>
            <w:r>
              <w:t>Border</w:t>
            </w:r>
          </w:p>
        </w:tc>
        <w:tc>
          <w:tcPr>
            <w:tcW w:w="2768" w:type="dxa"/>
          </w:tcPr>
          <w:p>
            <w:r>
              <w:t>#D3D1C7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边框、分隔线</w:t>
            </w:r>
          </w:p>
        </w:tc>
      </w:tr>
      <w:tr>
        <w:trPr/>
        <w:tc>
          <w:tcPr>
            <w:tcW w:w="2768" w:type="dxa"/>
          </w:tcPr>
          <w:p>
            <w:r>
              <w:t>Text-sec</w:t>
            </w:r>
          </w:p>
        </w:tc>
        <w:tc>
          <w:tcPr>
            <w:tcW w:w="2768" w:type="dxa"/>
          </w:tcPr>
          <w:p>
            <w:r>
              <w:t>#888780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辅助说明文字</w:t>
            </w:r>
          </w:p>
        </w:tc>
      </w:tr>
      <w:tr>
        <w:trPr/>
        <w:tc>
          <w:tcPr>
            <w:tcW w:w="2768" w:type="dxa"/>
          </w:tcPr>
          <w:p>
            <w:r>
              <w:t>Text-sub</w:t>
            </w:r>
          </w:p>
        </w:tc>
        <w:tc>
          <w:tcPr>
            <w:tcW w:w="2768" w:type="dxa"/>
          </w:tcPr>
          <w:p>
            <w:r>
              <w:t>#5F5E5A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次要文字</w:t>
            </w:r>
          </w:p>
        </w:tc>
      </w:tr>
      <w:tr>
        <w:trPr/>
        <w:tc>
          <w:tcPr>
            <w:tcW w:w="2768" w:type="dxa"/>
          </w:tcPr>
          <w:p>
            <w:r>
              <w:t>Text</w:t>
            </w:r>
          </w:p>
        </w:tc>
        <w:tc>
          <w:tcPr>
            <w:tcW w:w="2768" w:type="dxa"/>
          </w:tcPr>
          <w:p>
            <w:r>
              <w:t>#2C2C2A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主文字</w:t>
            </w:r>
          </w:p>
        </w:tc>
      </w:tr>
    </w:tbl>
    <w:p>
      <w:r>
        <w:rPr>
          <w:rFonts w:hint="eastAsia"/>
        </w:rPr>
        <w:t>文字层次：主文字(#2C2C2A) → 次要文字(#5F5E5A) → 辅助说明(#888780) → 边框(#D3D1C7) → 页面底(#F1EFE8)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数据可视化色</w:t>
      </w:r>
    </w:p>
    <w:p>
      <w:r>
        <w:rPr>
          <w:rFonts w:hint="eastAsia"/>
        </w:rPr>
        <w:t>用于报表图表、趋势曲线、数据大屏的多系列区分：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系列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色值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系列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色值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系列1</w:t>
            </w:r>
          </w:p>
        </w:tc>
        <w:tc>
          <w:tcPr>
            <w:tcW w:w="2076" w:type="dxa"/>
          </w:tcPr>
          <w:p>
            <w:r>
              <w:t>#185FA5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系列5</w:t>
            </w:r>
          </w:p>
        </w:tc>
        <w:tc>
          <w:tcPr>
            <w:tcW w:w="2076" w:type="dxa"/>
          </w:tcPr>
          <w:p>
            <w:r>
              <w:t>#7F77DD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系列2</w:t>
            </w:r>
          </w:p>
        </w:tc>
        <w:tc>
          <w:tcPr>
            <w:tcW w:w="2076" w:type="dxa"/>
          </w:tcPr>
          <w:p>
            <w:r>
              <w:t>#1D9E75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系列6</w:t>
            </w:r>
          </w:p>
        </w:tc>
        <w:tc>
          <w:tcPr>
            <w:tcW w:w="2076" w:type="dxa"/>
          </w:tcPr>
          <w:p>
            <w:r>
              <w:t>#D4537E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系列3</w:t>
            </w:r>
          </w:p>
        </w:tc>
        <w:tc>
          <w:tcPr>
            <w:tcW w:w="2076" w:type="dxa"/>
          </w:tcPr>
          <w:p>
            <w:r>
              <w:t>#EF9F27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系列7</w:t>
            </w:r>
          </w:p>
        </w:tc>
        <w:tc>
          <w:tcPr>
            <w:tcW w:w="2076" w:type="dxa"/>
          </w:tcPr>
          <w:p>
            <w:r>
              <w:t>#639922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系列4</w:t>
            </w:r>
          </w:p>
        </w:tc>
        <w:tc>
          <w:tcPr>
            <w:tcW w:w="2076" w:type="dxa"/>
          </w:tcPr>
          <w:p>
            <w:r>
              <w:t>#D85A30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系列8</w:t>
            </w:r>
          </w:p>
        </w:tc>
        <w:tc>
          <w:tcPr>
            <w:tcW w:w="2076" w:type="dxa"/>
          </w:tcPr>
          <w:p>
            <w:r>
              <w:t>#A32D2D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色彩使用规则</w:t>
      </w:r>
    </w:p>
    <w:p>
      <w:pPr>
        <w:numPr>
          <w:ilvl w:val="0"/>
          <w:numId w:val="1"/>
        </w:numPr>
      </w:pPr>
      <w:r>
        <w:rPr>
          <w:rFonts w:hint="eastAsia"/>
        </w:rPr>
        <w:t>同一界面同时出现的色系不超过3种（主色+状态色+中性色）</w:t>
      </w:r>
    </w:p>
    <w:p>
      <w:pPr>
        <w:numPr>
          <w:ilvl w:val="0"/>
          <w:numId w:val="1"/>
        </w:numPr>
      </w:pPr>
      <w:r>
        <w:rPr>
          <w:rFonts w:hint="eastAsia"/>
        </w:rPr>
        <w:t>状态色仅用于状态指示，不可用于装饰</w:t>
      </w:r>
    </w:p>
    <w:p>
      <w:pPr>
        <w:numPr>
          <w:ilvl w:val="0"/>
          <w:numId w:val="1"/>
        </w:numPr>
      </w:pPr>
      <w:r>
        <w:rPr>
          <w:rFonts w:hint="eastAsia"/>
        </w:rPr>
        <w:t>按钮文字在深色底上用白色，浅色底上用对应深色</w:t>
      </w:r>
    </w:p>
    <w:p>
      <w:pPr>
        <w:numPr>
          <w:ilvl w:val="0"/>
          <w:numId w:val="1"/>
        </w:numPr>
      </w:pPr>
      <w:r>
        <w:rPr>
          <w:rFonts w:hint="eastAsia"/>
        </w:rPr>
        <w:t>数据可视化色按系列顺序使用，避免跳跃选取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字体与排版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字体族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首选字体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备选字体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中文</w:t>
            </w:r>
          </w:p>
        </w:tc>
        <w:tc>
          <w:tcPr>
            <w:tcW w:w="2076" w:type="dxa"/>
          </w:tcPr>
          <w:p>
            <w:r>
              <w:t>PingFang SC (macOS)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Microsoft YaHei (Windows) / 黑体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系统默认无衬线字体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数字/英文</w:t>
            </w:r>
          </w:p>
        </w:tc>
        <w:tc>
          <w:tcPr>
            <w:tcW w:w="2076" w:type="dxa"/>
          </w:tcPr>
          <w:p>
            <w:r>
              <w:t>DIN Alternate</w:t>
            </w:r>
          </w:p>
        </w:tc>
        <w:tc>
          <w:tcPr>
            <w:tcW w:w="2076" w:type="dxa"/>
          </w:tcPr>
          <w:p>
            <w:r>
              <w:t>Roboto / monospace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数据展示用DIN等宽数字，正文用Roboto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字号体系</w:t>
      </w:r>
    </w:p>
    <w:p>
      <w:r>
        <w:rPr>
          <w:rFonts w:hint="eastAsia"/>
        </w:rPr>
        <w:t>车间场景文字最小14px起步，确保远距离可读：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字重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076" w:type="dxa"/>
          </w:tcPr>
          <w:p>
            <w:r>
              <w:t>H1</w:t>
            </w:r>
          </w:p>
        </w:tc>
        <w:tc>
          <w:tcPr>
            <w:tcW w:w="2076" w:type="dxa"/>
          </w:tcPr>
          <w:p>
            <w:r>
              <w:t>24px</w:t>
            </w:r>
          </w:p>
        </w:tc>
        <w:tc>
          <w:tcPr>
            <w:tcW w:w="2076" w:type="dxa"/>
          </w:tcPr>
          <w:p>
            <w:r>
              <w:t>500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页面主标题</w:t>
            </w:r>
          </w:p>
        </w:tc>
      </w:tr>
      <w:tr>
        <w:trPr/>
        <w:tc>
          <w:tcPr>
            <w:tcW w:w="2076" w:type="dxa"/>
          </w:tcPr>
          <w:p>
            <w:r>
              <w:t>H2</w:t>
            </w:r>
          </w:p>
        </w:tc>
        <w:tc>
          <w:tcPr>
            <w:tcW w:w="2076" w:type="dxa"/>
          </w:tcPr>
          <w:p>
            <w:r>
              <w:t>18px</w:t>
            </w:r>
          </w:p>
        </w:tc>
        <w:tc>
          <w:tcPr>
            <w:tcW w:w="2076" w:type="dxa"/>
          </w:tcPr>
          <w:p>
            <w:r>
              <w:t>500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区块标题</w:t>
            </w:r>
          </w:p>
        </w:tc>
      </w:tr>
      <w:tr>
        <w:trPr/>
        <w:tc>
          <w:tcPr>
            <w:tcW w:w="2076" w:type="dxa"/>
          </w:tcPr>
          <w:p>
            <w:r>
              <w:t>H3</w:t>
            </w:r>
          </w:p>
        </w:tc>
        <w:tc>
          <w:tcPr>
            <w:tcW w:w="2076" w:type="dxa"/>
          </w:tcPr>
          <w:p>
            <w:r>
              <w:t>16px</w:t>
            </w:r>
          </w:p>
        </w:tc>
        <w:tc>
          <w:tcPr>
            <w:tcW w:w="2076" w:type="dxa"/>
          </w:tcPr>
          <w:p>
            <w:r>
              <w:t>500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卡片标题</w:t>
            </w:r>
          </w:p>
        </w:tc>
      </w:tr>
      <w:tr>
        <w:trPr/>
        <w:tc>
          <w:tcPr>
            <w:tcW w:w="2076" w:type="dxa"/>
          </w:tcPr>
          <w:p>
            <w:r>
              <w:t>Body</w:t>
            </w:r>
          </w:p>
        </w:tc>
        <w:tc>
          <w:tcPr>
            <w:tcW w:w="2076" w:type="dxa"/>
          </w:tcPr>
          <w:p>
            <w:r>
              <w:t>14px</w:t>
            </w:r>
          </w:p>
        </w:tc>
        <w:tc>
          <w:tcPr>
            <w:tcW w:w="2076" w:type="dxa"/>
          </w:tcPr>
          <w:p>
            <w:r>
              <w:t>400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正文内容（最小字号）</w:t>
            </w:r>
          </w:p>
        </w:tc>
      </w:tr>
      <w:tr>
        <w:trPr/>
        <w:tc>
          <w:tcPr>
            <w:tcW w:w="2076" w:type="dxa"/>
          </w:tcPr>
          <w:p>
            <w:r>
              <w:t>Caption</w:t>
            </w:r>
          </w:p>
        </w:tc>
        <w:tc>
          <w:tcPr>
            <w:tcW w:w="2076" w:type="dxa"/>
          </w:tcPr>
          <w:p>
            <w:r>
              <w:t>12px</w:t>
            </w:r>
          </w:p>
        </w:tc>
        <w:tc>
          <w:tcPr>
            <w:tcW w:w="2076" w:type="dxa"/>
          </w:tcPr>
          <w:p>
            <w:r>
              <w:t>400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辅助说明（仅限非关键信息）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数据展示字号</w:t>
      </w:r>
    </w:p>
    <w:p>
      <w:r>
        <w:rPr>
          <w:rFonts w:hint="eastAsia"/>
        </w:rPr>
        <w:t>监控大屏和数据卡片使用大号DIN字体，确保3米外可读：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字重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大屏核心指标</w:t>
            </w:r>
          </w:p>
        </w:tc>
        <w:tc>
          <w:tcPr>
            <w:tcW w:w="2076" w:type="dxa"/>
          </w:tcPr>
          <w:p>
            <w:r>
              <w:t>32-48px</w:t>
            </w:r>
          </w:p>
        </w:tc>
        <w:tc>
          <w:tcPr>
            <w:tcW w:w="2076" w:type="dxa"/>
          </w:tcPr>
          <w:p>
            <w:r>
              <w:t>500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温度、压力等实时值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卡片数据</w:t>
            </w:r>
          </w:p>
        </w:tc>
        <w:tc>
          <w:tcPr>
            <w:tcW w:w="2076" w:type="dxa"/>
          </w:tcPr>
          <w:p>
            <w:r>
              <w:t>24-28px</w:t>
            </w:r>
          </w:p>
        </w:tc>
        <w:tc>
          <w:tcPr>
            <w:tcW w:w="2076" w:type="dxa"/>
          </w:tcPr>
          <w:p>
            <w:r>
              <w:t>500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在产釜次数、预警数等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表格数字</w:t>
            </w:r>
          </w:p>
        </w:tc>
        <w:tc>
          <w:tcPr>
            <w:tcW w:w="2076" w:type="dxa"/>
          </w:tcPr>
          <w:p>
            <w:r>
              <w:t>16px</w:t>
            </w:r>
          </w:p>
        </w:tc>
        <w:tc>
          <w:tcPr>
            <w:tcW w:w="2076" w:type="dxa"/>
          </w:tcPr>
          <w:p>
            <w:r>
              <w:t>400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列表中的数值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单位标注</w:t>
            </w:r>
          </w:p>
        </w:tc>
        <w:tc>
          <w:tcPr>
            <w:tcW w:w="2076" w:type="dxa"/>
          </w:tcPr>
          <w:p>
            <w:r>
              <w:t>12-14px</w:t>
            </w:r>
          </w:p>
        </w:tc>
        <w:tc>
          <w:tcPr>
            <w:tcW w:w="2076" w:type="dxa"/>
          </w:tcPr>
          <w:p>
            <w:r>
              <w:t>400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°C、MPa、kg等单位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行高与字间距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行高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正文段落</w:t>
            </w:r>
          </w:p>
        </w:tc>
        <w:tc>
          <w:tcPr>
            <w:tcW w:w="2768" w:type="dxa"/>
          </w:tcPr>
          <w:p>
            <w:r>
              <w:t>1.6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长文本阅读舒适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表格行</w:t>
            </w:r>
          </w:p>
        </w:tc>
        <w:tc>
          <w:tcPr>
            <w:tcW w:w="2768" w:type="dxa"/>
          </w:tcPr>
          <w:p>
            <w:r>
              <w:t>1.5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紧凑数据展示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标题</w:t>
            </w:r>
          </w:p>
        </w:tc>
        <w:tc>
          <w:tcPr>
            <w:tcW w:w="2768" w:type="dxa"/>
          </w:tcPr>
          <w:p>
            <w:r>
              <w:t>1.3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标题紧凑排列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数据数字</w:t>
            </w:r>
          </w:p>
        </w:tc>
        <w:tc>
          <w:tcPr>
            <w:tcW w:w="2768" w:type="dxa"/>
          </w:tcPr>
          <w:p>
            <w:r>
              <w:t>1.2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数字对齐紧凑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间距与栅格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间距基准</w:t>
      </w:r>
    </w:p>
    <w:p>
      <w:r>
        <w:rPr>
          <w:rFonts w:hint="eastAsia"/>
        </w:rPr>
        <w:t>以4px为基准单位，形成6级间距体系：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</w:tcPr>
          <w:p>
            <w:r>
              <w:t>xs</w:t>
            </w:r>
          </w:p>
        </w:tc>
        <w:tc>
          <w:tcPr>
            <w:tcW w:w="2768" w:type="dxa"/>
          </w:tcPr>
          <w:p>
            <w:r>
              <w:t>4px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图标与文字间距</w:t>
            </w:r>
          </w:p>
        </w:tc>
      </w:tr>
      <w:tr>
        <w:trPr/>
        <w:tc>
          <w:tcPr>
            <w:tcW w:w="2768" w:type="dxa"/>
          </w:tcPr>
          <w:p>
            <w:r>
              <w:t>sm</w:t>
            </w:r>
          </w:p>
        </w:tc>
        <w:tc>
          <w:tcPr>
            <w:tcW w:w="2768" w:type="dxa"/>
          </w:tcPr>
          <w:p>
            <w:r>
              <w:t>8px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标签内边距、紧凑间距</w:t>
            </w:r>
          </w:p>
        </w:tc>
      </w:tr>
      <w:tr>
        <w:trPr/>
        <w:tc>
          <w:tcPr>
            <w:tcW w:w="2768" w:type="dxa"/>
          </w:tcPr>
          <w:p>
            <w:r>
              <w:t>md</w:t>
            </w:r>
          </w:p>
        </w:tc>
        <w:tc>
          <w:tcPr>
            <w:tcW w:w="2768" w:type="dxa"/>
          </w:tcPr>
          <w:p>
            <w:r>
              <w:t>12px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卡片内元素间距</w:t>
            </w:r>
          </w:p>
        </w:tc>
      </w:tr>
      <w:tr>
        <w:trPr/>
        <w:tc>
          <w:tcPr>
            <w:tcW w:w="2768" w:type="dxa"/>
          </w:tcPr>
          <w:p>
            <w:r>
              <w:t>lg</w:t>
            </w:r>
          </w:p>
        </w:tc>
        <w:tc>
          <w:tcPr>
            <w:tcW w:w="2768" w:type="dxa"/>
          </w:tcPr>
          <w:p>
            <w:r>
              <w:t>16px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卡片内边距、区块间距</w:t>
            </w:r>
          </w:p>
        </w:tc>
      </w:tr>
      <w:tr>
        <w:trPr/>
        <w:tc>
          <w:tcPr>
            <w:tcW w:w="2768" w:type="dxa"/>
          </w:tcPr>
          <w:p>
            <w:r>
              <w:t>xl</w:t>
            </w:r>
          </w:p>
        </w:tc>
        <w:tc>
          <w:tcPr>
            <w:tcW w:w="2768" w:type="dxa"/>
          </w:tcPr>
          <w:p>
            <w:r>
              <w:t>24px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区块间距、列表间距</w:t>
            </w:r>
          </w:p>
        </w:tc>
      </w:tr>
      <w:tr>
        <w:trPr/>
        <w:tc>
          <w:tcPr>
            <w:tcW w:w="2768" w:type="dxa"/>
          </w:tcPr>
          <w:p>
            <w:r>
              <w:t>2xl</w:t>
            </w:r>
          </w:p>
        </w:tc>
        <w:tc>
          <w:tcPr>
            <w:tcW w:w="2768" w:type="dxa"/>
          </w:tcPr>
          <w:p>
            <w:r>
              <w:t>32px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大区块间距、页面边距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圆角规范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值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</w:tcPr>
          <w:p>
            <w:r>
              <w:t>sm</w:t>
            </w:r>
          </w:p>
        </w:tc>
        <w:tc>
          <w:tcPr>
            <w:tcW w:w="2768" w:type="dxa"/>
          </w:tcPr>
          <w:p>
            <w:r>
              <w:t>4px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小型标签、输入框</w:t>
            </w:r>
          </w:p>
        </w:tc>
      </w:tr>
      <w:tr>
        <w:trPr/>
        <w:tc>
          <w:tcPr>
            <w:tcW w:w="2768" w:type="dxa"/>
          </w:tcPr>
          <w:p>
            <w:r>
              <w:t>md</w:t>
            </w:r>
          </w:p>
        </w:tc>
        <w:tc>
          <w:tcPr>
            <w:tcW w:w="2768" w:type="dxa"/>
          </w:tcPr>
          <w:p>
            <w:r>
              <w:t>8px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按钮、下拉菜单</w:t>
            </w:r>
          </w:p>
        </w:tc>
      </w:tr>
      <w:tr>
        <w:trPr/>
        <w:tc>
          <w:tcPr>
            <w:tcW w:w="2768" w:type="dxa"/>
          </w:tcPr>
          <w:p>
            <w:r>
              <w:t>lg</w:t>
            </w:r>
          </w:p>
        </w:tc>
        <w:tc>
          <w:tcPr>
            <w:tcW w:w="2768" w:type="dxa"/>
          </w:tcPr>
          <w:p>
            <w:r>
              <w:t>12px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卡片、面板</w:t>
            </w:r>
          </w:p>
        </w:tc>
      </w:tr>
      <w:tr>
        <w:trPr/>
        <w:tc>
          <w:tcPr>
            <w:tcW w:w="2768" w:type="dxa"/>
          </w:tcPr>
          <w:p>
            <w:r>
              <w:t>xl</w:t>
            </w:r>
          </w:p>
        </w:tc>
        <w:tc>
          <w:tcPr>
            <w:tcW w:w="2768" w:type="dxa"/>
          </w:tcPr>
          <w:p>
            <w:r>
              <w:t>16px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弹窗、大型容器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触控区域</w:t>
      </w:r>
    </w:p>
    <w:p>
      <w:pPr>
        <w:numPr>
          <w:ilvl w:val="0"/>
          <w:numId w:val="1"/>
        </w:numPr>
      </w:pPr>
      <w:r>
        <w:rPr>
          <w:rFonts w:hint="eastAsia"/>
        </w:rPr>
        <w:t>最小触控区域：44 × 44px（适配戴手套操作）</w:t>
      </w:r>
    </w:p>
    <w:p>
      <w:pPr>
        <w:numPr>
          <w:ilvl w:val="0"/>
          <w:numId w:val="1"/>
        </w:numPr>
      </w:pPr>
      <w:r>
        <w:rPr>
          <w:rFonts w:hint="eastAsia"/>
        </w:rPr>
        <w:t>按钮高度：36-48px</w:t>
      </w:r>
    </w:p>
    <w:p>
      <w:pPr>
        <w:numPr>
          <w:ilvl w:val="0"/>
          <w:numId w:val="1"/>
        </w:numPr>
      </w:pPr>
      <w:r>
        <w:rPr>
          <w:rFonts w:hint="eastAsia"/>
        </w:rPr>
        <w:t>按钮间距：≥ 8px</w:t>
      </w:r>
    </w:p>
    <w:p>
      <w:pPr>
        <w:numPr>
          <w:ilvl w:val="0"/>
          <w:numId w:val="1"/>
        </w:numPr>
      </w:pPr>
      <w:r>
        <w:rPr>
          <w:rFonts w:hint="eastAsia"/>
        </w:rPr>
        <w:t>表格行高：≥ 48px（触控友好）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栅格系统</w:t>
      </w:r>
    </w:p>
    <w:p>
      <w:pPr>
        <w:numPr>
          <w:ilvl w:val="0"/>
          <w:numId w:val="1"/>
        </w:numPr>
      </w:pPr>
      <w:r>
        <w:rPr>
          <w:rFonts w:hint="eastAsia"/>
        </w:rPr>
        <w:t>桌面端：24列栅格，侧边栏240px固定宽度，内容区自适应</w:t>
      </w:r>
    </w:p>
    <w:p>
      <w:pPr>
        <w:numPr>
          <w:ilvl w:val="0"/>
          <w:numId w:val="1"/>
        </w:numPr>
      </w:pPr>
      <w:r>
        <w:rPr>
          <w:rFonts w:hint="eastAsia"/>
        </w:rPr>
        <w:t>平板端：12列栅格，底部Tab导航，内容区全屏</w:t>
      </w:r>
    </w:p>
    <w:p>
      <w:pPr>
        <w:numPr>
          <w:ilvl w:val="0"/>
          <w:numId w:val="1"/>
        </w:numPr>
      </w:pPr>
      <w:r>
        <w:rPr>
          <w:rFonts w:hint="eastAsia"/>
        </w:rPr>
        <w:t>大屏端：自定义栅格，沉浸式数据看板布局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核心组件规范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按钮 Button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背景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文字色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边框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主按钮 Primary</w:t>
            </w:r>
          </w:p>
        </w:tc>
        <w:tc>
          <w:tcPr>
            <w:tcW w:w="1661" w:type="dxa"/>
          </w:tcPr>
          <w:p>
            <w:r>
              <w:t>#185FA5</w:t>
            </w:r>
          </w:p>
        </w:tc>
        <w:tc>
          <w:tcPr>
            <w:tcW w:w="1661" w:type="dxa"/>
          </w:tcPr>
          <w:p>
            <w:r>
              <w:t>#FFFFFF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页面主操作（保存、提交、发布）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次按钮 Secondary</w:t>
            </w:r>
          </w:p>
        </w:tc>
        <w:tc>
          <w:tcPr>
            <w:tcW w:w="1661" w:type="dxa"/>
          </w:tcPr>
          <w:p>
            <w:r>
              <w:t>#FFFFFF</w:t>
            </w:r>
          </w:p>
        </w:tc>
        <w:tc>
          <w:tcPr>
            <w:tcW w:w="1661" w:type="dxa"/>
          </w:tcPr>
          <w:p>
            <w:r>
              <w:t>#2C2C2A</w:t>
            </w:r>
          </w:p>
        </w:tc>
        <w:tc>
          <w:tcPr>
            <w:tcW w:w="1661" w:type="dxa"/>
          </w:tcPr>
          <w:p>
            <w:r>
              <w:t>#D3D1C7 1px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辅助操作（取消、返回）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危险按钮 Danger</w:t>
            </w:r>
          </w:p>
        </w:tc>
        <w:tc>
          <w:tcPr>
            <w:tcW w:w="1661" w:type="dxa"/>
          </w:tcPr>
          <w:p>
            <w:r>
              <w:t>#E24B4A</w:t>
            </w:r>
          </w:p>
        </w:tc>
        <w:tc>
          <w:tcPr>
            <w:tcW w:w="1661" w:type="dxa"/>
          </w:tcPr>
          <w:p>
            <w:r>
              <w:t>#FFFFFF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阻断操作、删除（需二次确认）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文字按钮 Text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透明</w:t>
            </w:r>
          </w:p>
        </w:tc>
        <w:tc>
          <w:tcPr>
            <w:tcW w:w="1661" w:type="dxa"/>
          </w:tcPr>
          <w:p>
            <w:r>
              <w:t>#185FA5</w:t>
            </w:r>
          </w:p>
        </w:tc>
        <w:tc>
          <w:tcPr>
            <w:tcW w:w="1661" w:type="dxa"/>
          </w:tcPr>
          <w:p>
            <w:r>
              <w:t>#185FA5 1px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链接式操作</w:t>
            </w:r>
          </w:p>
        </w:tc>
      </w:tr>
    </w:tbl>
    <w:p>
      <w:r>
        <w:rPr>
          <w:rFonts w:hint="eastAsia"/>
        </w:rPr>
        <w:t>按钮规格：高度36-48px，圆角8px，内边距12px 24px，字号14px。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状态标签 Status Tag</w:t>
      </w:r>
    </w:p>
    <w:p>
      <w:r>
        <w:rPr>
          <w:rFonts w:hint="eastAsia"/>
        </w:rPr>
        <w:t>胶囊形标签，高度28px，圆角14px，左侧圆点+文字：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底色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圆点色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文字色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正常</w:t>
            </w:r>
          </w:p>
        </w:tc>
        <w:tc>
          <w:tcPr>
            <w:tcW w:w="2076" w:type="dxa"/>
          </w:tcPr>
          <w:p>
            <w:r>
              <w:t>#E1F5EE</w:t>
            </w:r>
          </w:p>
        </w:tc>
        <w:tc>
          <w:tcPr>
            <w:tcW w:w="2076" w:type="dxa"/>
          </w:tcPr>
          <w:p>
            <w:r>
              <w:t>#1D9E75</w:t>
            </w:r>
          </w:p>
        </w:tc>
        <w:tc>
          <w:tcPr>
            <w:tcW w:w="2076" w:type="dxa"/>
          </w:tcPr>
          <w:p>
            <w:r>
              <w:t>#085041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提示</w:t>
            </w:r>
          </w:p>
        </w:tc>
        <w:tc>
          <w:tcPr>
            <w:tcW w:w="2076" w:type="dxa"/>
          </w:tcPr>
          <w:p>
            <w:r>
              <w:t>#FAEEDA</w:t>
            </w:r>
          </w:p>
        </w:tc>
        <w:tc>
          <w:tcPr>
            <w:tcW w:w="2076" w:type="dxa"/>
          </w:tcPr>
          <w:p>
            <w:r>
              <w:t>#EF9F27</w:t>
            </w:r>
          </w:p>
        </w:tc>
        <w:tc>
          <w:tcPr>
            <w:tcW w:w="2076" w:type="dxa"/>
          </w:tcPr>
          <w:p>
            <w:r>
              <w:t>#633806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警告</w:t>
            </w:r>
          </w:p>
        </w:tc>
        <w:tc>
          <w:tcPr>
            <w:tcW w:w="2076" w:type="dxa"/>
          </w:tcPr>
          <w:p>
            <w:r>
              <w:t>#FAECE7</w:t>
            </w:r>
          </w:p>
        </w:tc>
        <w:tc>
          <w:tcPr>
            <w:tcW w:w="2076" w:type="dxa"/>
          </w:tcPr>
          <w:p>
            <w:r>
              <w:t>#D85A30</w:t>
            </w:r>
          </w:p>
        </w:tc>
        <w:tc>
          <w:tcPr>
            <w:tcW w:w="2076" w:type="dxa"/>
          </w:tcPr>
          <w:p>
            <w:r>
              <w:t>#712B13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阻断</w:t>
            </w:r>
          </w:p>
        </w:tc>
        <w:tc>
          <w:tcPr>
            <w:tcW w:w="2076" w:type="dxa"/>
          </w:tcPr>
          <w:p>
            <w:r>
              <w:t>#FCEBEB</w:t>
            </w:r>
          </w:p>
        </w:tc>
        <w:tc>
          <w:tcPr>
            <w:tcW w:w="2076" w:type="dxa"/>
          </w:tcPr>
          <w:p>
            <w:r>
              <w:t>#E24B4A</w:t>
            </w:r>
          </w:p>
        </w:tc>
        <w:tc>
          <w:tcPr>
            <w:tcW w:w="2076" w:type="dxa"/>
          </w:tcPr>
          <w:p>
            <w:r>
              <w:t>#501313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执行中</w:t>
            </w:r>
          </w:p>
        </w:tc>
        <w:tc>
          <w:tcPr>
            <w:tcW w:w="2076" w:type="dxa"/>
          </w:tcPr>
          <w:p>
            <w:r>
              <w:t>#E6F1FB</w:t>
            </w:r>
          </w:p>
        </w:tc>
        <w:tc>
          <w:tcPr>
            <w:tcW w:w="2076" w:type="dxa"/>
          </w:tcPr>
          <w:p>
            <w:r>
              <w:t>#378ADD</w:t>
            </w:r>
          </w:p>
        </w:tc>
        <w:tc>
          <w:tcPr>
            <w:tcW w:w="2076" w:type="dxa"/>
          </w:tcPr>
          <w:p>
            <w:r>
              <w:t>#0C447C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待执行</w:t>
            </w:r>
          </w:p>
        </w:tc>
        <w:tc>
          <w:tcPr>
            <w:tcW w:w="2076" w:type="dxa"/>
          </w:tcPr>
          <w:p>
            <w:r>
              <w:t>#F1EFE8</w:t>
            </w:r>
          </w:p>
        </w:tc>
        <w:tc>
          <w:tcPr>
            <w:tcW w:w="2076" w:type="dxa"/>
          </w:tcPr>
          <w:p>
            <w:r>
              <w:t>#888780</w:t>
            </w:r>
          </w:p>
        </w:tc>
        <w:tc>
          <w:tcPr>
            <w:tcW w:w="2076" w:type="dxa"/>
          </w:tcPr>
          <w:p>
            <w:r>
              <w:t>#444441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釜次监控卡片 Batch Card</w:t>
      </w:r>
    </w:p>
    <w:p>
      <w:r>
        <w:rPr>
          <w:rFonts w:hint="eastAsia"/>
        </w:rPr>
        <w:t>核心监控组件，用于生产监控大屏和监控列表：</w:t>
      </w:r>
    </w:p>
    <w:p>
      <w:pPr>
        <w:numPr>
          <w:ilvl w:val="0"/>
          <w:numId w:val="1"/>
        </w:numPr>
      </w:pPr>
      <w:r>
        <w:rPr>
          <w:rFonts w:hint="eastAsia"/>
        </w:rPr>
        <w:t>卡片尺寸：约 290 × 150px，圆角12px</w:t>
      </w:r>
    </w:p>
    <w:p>
      <w:pPr>
        <w:numPr>
          <w:ilvl w:val="0"/>
          <w:numId w:val="1"/>
        </w:numPr>
      </w:pPr>
      <w:r>
        <w:rPr>
          <w:rFonts w:hint="eastAsia"/>
        </w:rPr>
        <w:t>左侧4px状态色条（对应四级状态色）</w:t>
      </w:r>
    </w:p>
    <w:p>
      <w:pPr>
        <w:numPr>
          <w:ilvl w:val="0"/>
          <w:numId w:val="1"/>
        </w:numPr>
      </w:pPr>
      <w:r>
        <w:rPr>
          <w:rFonts w:hint="eastAsia"/>
        </w:rPr>
        <w:t>内容区：釜次编号（H3 14px 500）、状态标签、产品名称、当前工序、操作员</w:t>
      </w:r>
    </w:p>
    <w:p>
      <w:pPr>
        <w:numPr>
          <w:ilvl w:val="0"/>
          <w:numId w:val="1"/>
        </w:numPr>
      </w:pPr>
      <w:r>
        <w:rPr>
          <w:rFonts w:hint="eastAsia"/>
        </w:rPr>
        <w:t>底部进度条：6px高圆角条，填充色对应状态色</w:t>
      </w:r>
    </w:p>
    <w:p>
      <w:pPr>
        <w:numPr>
          <w:ilvl w:val="0"/>
          <w:numId w:val="1"/>
        </w:numPr>
      </w:pPr>
      <w:r>
        <w:rPr>
          <w:rFonts w:hint="eastAsia"/>
        </w:rPr>
        <w:t>异常状态卡片：边框加粗为对应状态色1px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操作动作指引步骤 Action Step</w:t>
      </w:r>
    </w:p>
    <w:p>
      <w:r>
        <w:rPr>
          <w:rFonts w:hint="eastAsia"/>
        </w:rPr>
        <w:t>车间操作人员的核心交互组件：</w:t>
      </w:r>
    </w:p>
    <w:p>
      <w:pPr>
        <w:numPr>
          <w:ilvl w:val="0"/>
          <w:numId w:val="1"/>
        </w:numPr>
      </w:pPr>
      <w:r>
        <w:rPr>
          <w:rFonts w:hint="eastAsia"/>
        </w:rPr>
        <w:t>当前执行步骤：浅蓝底(#E6F1FB) + 蓝色边框(#85B7EB)，圆形序号(#185FA5)</w:t>
      </w:r>
    </w:p>
    <w:p>
      <w:pPr>
        <w:numPr>
          <w:ilvl w:val="0"/>
          <w:numId w:val="1"/>
        </w:numPr>
      </w:pPr>
      <w:r>
        <w:rPr>
          <w:rFonts w:hint="eastAsia"/>
        </w:rPr>
        <w:t>待执行步骤：灰底(#F1EFE8) + 灰色边框(#D3D1C7)，序号灰色(#888780)</w:t>
      </w:r>
    </w:p>
    <w:p>
      <w:pPr>
        <w:numPr>
          <w:ilvl w:val="0"/>
          <w:numId w:val="1"/>
        </w:numPr>
      </w:pPr>
      <w:r>
        <w:rPr>
          <w:rFonts w:hint="eastAsia"/>
        </w:rPr>
        <w:t>已完成步骤：浅绿底(#E1F5EE) + 对勾图标</w:t>
      </w:r>
    </w:p>
    <w:p>
      <w:pPr>
        <w:numPr>
          <w:ilvl w:val="0"/>
          <w:numId w:val="1"/>
        </w:numPr>
      </w:pPr>
      <w:r>
        <w:rPr>
          <w:rFonts w:hint="eastAsia"/>
        </w:rPr>
        <w:t>每步包含：序号、动作名称、状态标签、操作说明、参数要求</w:t>
      </w:r>
    </w:p>
    <w:p>
      <w:pPr>
        <w:numPr>
          <w:ilvl w:val="0"/>
          <w:numId w:val="1"/>
        </w:numPr>
      </w:pPr>
      <w:r>
        <w:rPr>
          <w:rFonts w:hint="eastAsia"/>
        </w:rPr>
        <w:t>参数要求行使用11px辅助色(#378ADD)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数据指标卡片 Metric Card</w:t>
      </w:r>
    </w:p>
    <w:p>
      <w:r>
        <w:rPr>
          <w:rFonts w:hint="eastAsia"/>
        </w:rPr>
        <w:t>用于大屏和仪表盘的关键指标展示：</w:t>
      </w:r>
    </w:p>
    <w:p>
      <w:pPr>
        <w:numPr>
          <w:ilvl w:val="0"/>
          <w:numId w:val="1"/>
        </w:numPr>
      </w:pPr>
      <w:r>
        <w:rPr>
          <w:rFonts w:hint="eastAsia"/>
        </w:rPr>
        <w:t>卡片尺寸：约 128 × 72px，圆角8px</w:t>
      </w:r>
    </w:p>
    <w:p>
      <w:pPr>
        <w:numPr>
          <w:ilvl w:val="0"/>
          <w:numId w:val="1"/>
        </w:numPr>
      </w:pPr>
      <w:r>
        <w:rPr>
          <w:rFonts w:hint="eastAsia"/>
        </w:rPr>
        <w:t>底色按指标性质选择（正常-灰底、预警-橙底、完工-绿底）</w:t>
      </w:r>
    </w:p>
    <w:p>
      <w:pPr>
        <w:numPr>
          <w:ilvl w:val="0"/>
          <w:numId w:val="1"/>
        </w:numPr>
      </w:pPr>
      <w:r>
        <w:rPr>
          <w:rFonts w:hint="eastAsia"/>
        </w:rPr>
        <w:t>上方11px标签（辅助色），下方24-28px DIN字体数值</w:t>
      </w:r>
    </w:p>
    <w:p>
      <w:pPr>
        <w:numPr>
          <w:ilvl w:val="0"/>
          <w:numId w:val="1"/>
        </w:numPr>
      </w:pPr>
      <w:r>
        <w:rPr>
          <w:rFonts w:hint="eastAsia"/>
        </w:rPr>
        <w:t>数值颜色与状态色一致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5.6 预警通知 Alert Notice</w:t>
      </w:r>
    </w:p>
    <w:p>
      <w:r>
        <w:rPr>
          <w:rFonts w:hint="eastAsia"/>
        </w:rPr>
        <w:t>实时预警消息组件：</w:t>
      </w:r>
    </w:p>
    <w:p>
      <w:pPr>
        <w:numPr>
          <w:ilvl w:val="0"/>
          <w:numId w:val="1"/>
        </w:numPr>
      </w:pPr>
      <w:r>
        <w:rPr>
          <w:rFonts w:hint="eastAsia"/>
        </w:rPr>
        <w:t>横向条形，左侧6px状态色条</w:t>
      </w:r>
    </w:p>
    <w:p>
      <w:pPr>
        <w:numPr>
          <w:ilvl w:val="0"/>
          <w:numId w:val="1"/>
        </w:numPr>
      </w:pPr>
      <w:r>
        <w:rPr>
          <w:rFonts w:hint="eastAsia"/>
        </w:rPr>
        <w:t>内容：釜次编号 + 违规描述 + 标准值/实际值</w:t>
      </w:r>
    </w:p>
    <w:p>
      <w:pPr>
        <w:numPr>
          <w:ilvl w:val="0"/>
          <w:numId w:val="1"/>
        </w:numPr>
      </w:pPr>
      <w:r>
        <w:rPr>
          <w:rFonts w:hint="eastAsia"/>
        </w:rPr>
        <w:t>右侧时间戳（辅助色）</w:t>
      </w:r>
    </w:p>
    <w:p>
      <w:pPr>
        <w:numPr>
          <w:ilvl w:val="0"/>
          <w:numId w:val="1"/>
        </w:numPr>
      </w:pPr>
      <w:r>
        <w:rPr>
          <w:rFonts w:hint="eastAsia"/>
        </w:rPr>
        <w:t>阻断级预警附带操作按钮（确认/查看详情）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5.7 表格 Table</w:t>
      </w:r>
    </w:p>
    <w:p>
      <w:r>
        <w:rPr>
          <w:rFonts w:hint="eastAsia"/>
        </w:rPr>
        <w:t>数据列表展示组件：</w:t>
      </w:r>
    </w:p>
    <w:p>
      <w:pPr>
        <w:numPr>
          <w:ilvl w:val="0"/>
          <w:numId w:val="1"/>
        </w:numPr>
      </w:pPr>
      <w:r>
        <w:rPr>
          <w:rFonts w:hint="eastAsia"/>
        </w:rPr>
        <w:t>表头：灰底(#F1EFE8)，12px字重500</w:t>
      </w:r>
    </w:p>
    <w:p>
      <w:pPr>
        <w:numPr>
          <w:ilvl w:val="0"/>
          <w:numId w:val="1"/>
        </w:numPr>
      </w:pPr>
      <w:r>
        <w:rPr>
          <w:rFonts w:hint="eastAsia"/>
        </w:rPr>
        <w:t>行高：≥ 48px（触控友好）</w:t>
      </w:r>
    </w:p>
    <w:p>
      <w:pPr>
        <w:numPr>
          <w:ilvl w:val="0"/>
          <w:numId w:val="1"/>
        </w:numPr>
      </w:pPr>
      <w:r>
        <w:rPr>
          <w:rFonts w:hint="eastAsia"/>
        </w:rPr>
        <w:t>行分隔线：0.5px #F1EFE8</w:t>
      </w:r>
    </w:p>
    <w:p>
      <w:pPr>
        <w:numPr>
          <w:ilvl w:val="0"/>
          <w:numId w:val="1"/>
        </w:numPr>
      </w:pPr>
      <w:r>
        <w:rPr>
          <w:rFonts w:hint="eastAsia"/>
        </w:rPr>
        <w:t>悬浮行：浅灰底(#F1EFE8)</w:t>
      </w:r>
    </w:p>
    <w:p>
      <w:pPr>
        <w:numPr>
          <w:ilvl w:val="0"/>
          <w:numId w:val="1"/>
        </w:numPr>
      </w:pPr>
      <w:r>
        <w:rPr>
          <w:rFonts w:hint="eastAsia"/>
        </w:rPr>
        <w:t>选中行：浅蓝底(#E6F1FB)</w:t>
      </w:r>
    </w:p>
    <w:p>
      <w:pPr>
        <w:numPr>
          <w:ilvl w:val="0"/>
          <w:numId w:val="1"/>
        </w:numPr>
      </w:pPr>
      <w:r>
        <w:rPr>
          <w:rFonts w:hint="eastAsia"/>
        </w:rPr>
        <w:t>状态列使用状态标签组件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5.8 表单 Form</w:t>
      </w:r>
    </w:p>
    <w:p>
      <w:r>
        <w:rPr>
          <w:rFonts w:hint="eastAsia"/>
        </w:rPr>
        <w:t>数据录入组件：</w:t>
      </w:r>
    </w:p>
    <w:p>
      <w:pPr>
        <w:numPr>
          <w:ilvl w:val="0"/>
          <w:numId w:val="1"/>
        </w:numPr>
      </w:pPr>
      <w:r>
        <w:rPr>
          <w:rFonts w:hint="eastAsia"/>
        </w:rPr>
        <w:t>输入框高度：40px，圆角8px，边框#D3D1C7</w:t>
      </w:r>
    </w:p>
    <w:p>
      <w:pPr>
        <w:numPr>
          <w:ilvl w:val="0"/>
          <w:numId w:val="1"/>
        </w:numPr>
      </w:pPr>
      <w:r>
        <w:rPr>
          <w:rFonts w:hint="eastAsia"/>
        </w:rPr>
        <w:t>标签：14px字重500，上方排列</w:t>
      </w:r>
    </w:p>
    <w:p>
      <w:pPr>
        <w:numPr>
          <w:ilvl w:val="0"/>
          <w:numId w:val="1"/>
        </w:numPr>
      </w:pPr>
      <w:r>
        <w:rPr>
          <w:rFonts w:hint="eastAsia"/>
        </w:rPr>
        <w:t>必填标记：红色星号(*)在标签前</w:t>
      </w:r>
    </w:p>
    <w:p>
      <w:pPr>
        <w:numPr>
          <w:ilvl w:val="0"/>
          <w:numId w:val="1"/>
        </w:numPr>
      </w:pPr>
      <w:r>
        <w:rPr>
          <w:rFonts w:hint="eastAsia"/>
        </w:rPr>
        <w:t>校验提示：下方12px红色文字(#E24B4A)</w:t>
      </w:r>
    </w:p>
    <w:p>
      <w:pPr>
        <w:numPr>
          <w:ilvl w:val="0"/>
          <w:numId w:val="1"/>
        </w:numPr>
      </w:pPr>
      <w:r>
        <w:rPr>
          <w:rFonts w:hint="eastAsia"/>
        </w:rPr>
        <w:t>校验通过：下方12px绿色文字(#1D9E75)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页面布局架构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桌面端布局（≥1280px）</w:t>
      </w:r>
    </w:p>
    <w:p>
      <w:r>
        <w:rPr>
          <w:rFonts w:hint="eastAsia"/>
        </w:rPr>
        <w:t>整体采用左侧边栏 + 顶部栏 + 内容区的三段式布局：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区域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尺寸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侧边导航栏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240px固定宽度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深蓝底(#0C447C)，一级菜单白色文字，选中项蓝色高亮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顶部栏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48px高度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白底，左侧面包屑导航，右侧预警通知+用户信息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内容区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自适应宽度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页面底色(#F1EFE8)，内容卡片白底</w:t>
            </w:r>
          </w:p>
        </w:tc>
      </w:tr>
    </w:tbl>
    <w:p>
      <w:r>
        <w:rPr>
          <w:rFonts w:hint="eastAsia"/>
        </w:rPr>
        <w:t>侧边导航栏菜单结构（对应PRD功能模块）：</w:t>
      </w:r>
    </w:p>
    <w:p>
      <w:pPr>
        <w:numPr>
          <w:ilvl w:val="0"/>
          <w:numId w:val="1"/>
        </w:numPr>
      </w:pPr>
      <w:r>
        <w:rPr>
          <w:rFonts w:hint="eastAsia"/>
        </w:rPr>
        <w:t>生产监控大屏（首页）</w:t>
      </w:r>
    </w:p>
    <w:p>
      <w:pPr>
        <w:numPr>
          <w:ilvl w:val="0"/>
          <w:numId w:val="1"/>
        </w:numPr>
      </w:pPr>
      <w:r>
        <w:rPr>
          <w:rFonts w:hint="eastAsia"/>
        </w:rPr>
        <w:t>釜次BOM管理</w:t>
      </w:r>
    </w:p>
    <w:p>
      <w:pPr>
        <w:numPr>
          <w:ilvl w:val="0"/>
          <w:numId w:val="1"/>
        </w:numPr>
      </w:pPr>
      <w:r>
        <w:rPr>
          <w:rFonts w:hint="eastAsia"/>
        </w:rPr>
        <w:t>工序动作管理</w:t>
      </w:r>
    </w:p>
    <w:p>
      <w:pPr>
        <w:numPr>
          <w:ilvl w:val="0"/>
          <w:numId w:val="1"/>
        </w:numPr>
      </w:pPr>
      <w:r>
        <w:rPr>
          <w:rFonts w:hint="eastAsia"/>
        </w:rPr>
        <w:t>动作监控预警</w:t>
      </w:r>
    </w:p>
    <w:p>
      <w:pPr>
        <w:numPr>
          <w:ilvl w:val="0"/>
          <w:numId w:val="1"/>
        </w:numPr>
      </w:pPr>
      <w:r>
        <w:rPr>
          <w:rFonts w:hint="eastAsia"/>
        </w:rPr>
        <w:t>变更管理</w:t>
      </w:r>
    </w:p>
    <w:p>
      <w:pPr>
        <w:numPr>
          <w:ilvl w:val="0"/>
          <w:numId w:val="1"/>
        </w:numPr>
      </w:pPr>
      <w:r>
        <w:rPr>
          <w:rFonts w:hint="eastAsia"/>
        </w:rPr>
        <w:t>生产执行</w:t>
      </w:r>
    </w:p>
    <w:p>
      <w:pPr>
        <w:numPr>
          <w:ilvl w:val="0"/>
          <w:numId w:val="1"/>
        </w:numPr>
      </w:pPr>
      <w:r>
        <w:rPr>
          <w:rFonts w:hint="eastAsia"/>
        </w:rPr>
        <w:t>标准动作库</w:t>
      </w:r>
    </w:p>
    <w:p>
      <w:pPr>
        <w:numPr>
          <w:ilvl w:val="0"/>
          <w:numId w:val="1"/>
        </w:numPr>
      </w:pPr>
      <w:r>
        <w:rPr>
          <w:rFonts w:hint="eastAsia"/>
        </w:rPr>
        <w:t>决策分析</w:t>
      </w:r>
    </w:p>
    <w:p>
      <w:pPr>
        <w:numPr>
          <w:ilvl w:val="0"/>
          <w:numId w:val="1"/>
        </w:numPr>
      </w:pPr>
      <w:r>
        <w:rPr>
          <w:rFonts w:hint="eastAsia"/>
        </w:rPr>
        <w:t>数据接口</w:t>
      </w:r>
    </w:p>
    <w:p>
      <w:pPr>
        <w:numPr>
          <w:ilvl w:val="0"/>
          <w:numId w:val="1"/>
        </w:numPr>
      </w:pPr>
      <w:r>
        <w:rPr>
          <w:rFonts w:hint="eastAsia"/>
        </w:rPr>
        <w:t>系统设置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平板端布局（768-1279px）</w:t>
      </w:r>
    </w:p>
    <w:p>
      <w:pPr>
        <w:numPr>
          <w:ilvl w:val="0"/>
          <w:numId w:val="1"/>
        </w:numPr>
      </w:pPr>
      <w:r>
        <w:rPr>
          <w:rFonts w:hint="eastAsia"/>
        </w:rPr>
        <w:t>取消侧边栏，改为底部Tab导航</w:t>
      </w:r>
    </w:p>
    <w:p>
      <w:pPr>
        <w:numPr>
          <w:ilvl w:val="0"/>
          <w:numId w:val="1"/>
        </w:numPr>
      </w:pPr>
      <w:r>
        <w:rPr>
          <w:rFonts w:hint="eastAsia"/>
        </w:rPr>
        <w:t>内容区全屏展示</w:t>
      </w:r>
    </w:p>
    <w:p>
      <w:pPr>
        <w:numPr>
          <w:ilvl w:val="0"/>
          <w:numId w:val="1"/>
        </w:numPr>
      </w:pPr>
      <w:r>
        <w:rPr>
          <w:rFonts w:hint="eastAsia"/>
        </w:rPr>
        <w:t>优化触控区域，增大按钮和间距</w:t>
      </w:r>
    </w:p>
    <w:p>
      <w:pPr>
        <w:numPr>
          <w:ilvl w:val="0"/>
          <w:numId w:val="1"/>
        </w:numPr>
      </w:pPr>
      <w:r>
        <w:rPr>
          <w:rFonts w:hint="eastAsia"/>
        </w:rPr>
        <w:t>车间执行界面简化为核心操作步骤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大屏端布局（≥1920px）</w:t>
      </w:r>
    </w:p>
    <w:p>
      <w:pPr>
        <w:numPr>
          <w:ilvl w:val="0"/>
          <w:numId w:val="1"/>
        </w:numPr>
      </w:pPr>
      <w:r>
        <w:rPr>
          <w:rFonts w:hint="eastAsia"/>
        </w:rPr>
        <w:t>沉浸式数据看板，无侧边栏</w:t>
      </w:r>
    </w:p>
    <w:p>
      <w:pPr>
        <w:numPr>
          <w:ilvl w:val="0"/>
          <w:numId w:val="1"/>
        </w:numPr>
      </w:pPr>
      <w:r>
        <w:rPr>
          <w:rFonts w:hint="eastAsia"/>
        </w:rPr>
        <w:t>多区域网格布局：指标卡片区 + 釜次状态区 + 预警列表区 + 趋势图区</w:t>
      </w:r>
    </w:p>
    <w:p>
      <w:pPr>
        <w:numPr>
          <w:ilvl w:val="0"/>
          <w:numId w:val="1"/>
        </w:numPr>
      </w:pPr>
      <w:r>
        <w:rPr>
          <w:rFonts w:hint="eastAsia"/>
        </w:rPr>
        <w:t>自动轮播关键数据</w:t>
      </w:r>
    </w:p>
    <w:p>
      <w:pPr>
        <w:numPr>
          <w:ilvl w:val="0"/>
          <w:numId w:val="1"/>
        </w:numPr>
      </w:pPr>
      <w:r>
        <w:rPr>
          <w:rFonts w:hint="eastAsia"/>
        </w:rPr>
        <w:t>预警弹窗全屏置顶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响应式断点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断点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宽度范围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布局方案</w:t>
            </w:r>
          </w:p>
        </w:tc>
      </w:tr>
      <w:tr>
        <w:trPr/>
        <w:tc>
          <w:tcPr>
            <w:tcW w:w="2768" w:type="dxa"/>
          </w:tcPr>
          <w:p>
            <w:r>
              <w:t>lg</w:t>
            </w:r>
          </w:p>
        </w:tc>
        <w:tc>
          <w:tcPr>
            <w:tcW w:w="2768" w:type="dxa"/>
          </w:tcPr>
          <w:p>
            <w:r>
              <w:t>≥1280px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桌面端三段式布局</w:t>
            </w:r>
          </w:p>
        </w:tc>
      </w:tr>
      <w:tr>
        <w:trPr/>
        <w:tc>
          <w:tcPr>
            <w:tcW w:w="2768" w:type="dxa"/>
          </w:tcPr>
          <w:p>
            <w:r>
              <w:t>md</w:t>
            </w:r>
          </w:p>
        </w:tc>
        <w:tc>
          <w:tcPr>
            <w:tcW w:w="2768" w:type="dxa"/>
          </w:tcPr>
          <w:p>
            <w:r>
              <w:t>768-1279px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平板端底部Tab布局</w:t>
            </w:r>
          </w:p>
        </w:tc>
      </w:tr>
      <w:tr>
        <w:trPr/>
        <w:tc>
          <w:tcPr>
            <w:tcW w:w="2768" w:type="dxa"/>
          </w:tcPr>
          <w:p>
            <w:r>
              <w:t>sm</w:t>
            </w:r>
          </w:p>
        </w:tc>
        <w:tc>
          <w:tcPr>
            <w:tcW w:w="2768" w:type="dxa"/>
          </w:tcPr>
          <w:p>
            <w:r>
              <w:t>&lt; 768px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不支持（建议使用平板端）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交互规范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操作反馈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反馈方式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响应时间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按钮点击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按钮底色加深10%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即时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表单提交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按钮置灰 + Loading图标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≤2秒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数据保存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顶部Toast提示"保存成功"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3秒自动消失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操作失败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红色Toast提示 + 错误原因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需手动关闭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预警触发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弹窗 + 声音 + 颜色闪烁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≤5秒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阻断确认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全屏遮罩 + 确认弹窗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即时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导航规范</w:t>
      </w:r>
    </w:p>
    <w:p>
      <w:pPr>
        <w:numPr>
          <w:ilvl w:val="0"/>
          <w:numId w:val="1"/>
        </w:numPr>
      </w:pPr>
      <w:r>
        <w:rPr>
          <w:rFonts w:hint="eastAsia"/>
        </w:rPr>
        <w:t>侧边栏菜单支持折叠/展开二级菜单</w:t>
      </w:r>
    </w:p>
    <w:p>
      <w:pPr>
        <w:numPr>
          <w:ilvl w:val="0"/>
          <w:numId w:val="1"/>
        </w:numPr>
      </w:pPr>
      <w:r>
        <w:rPr>
          <w:rFonts w:hint="eastAsia"/>
        </w:rPr>
        <w:t>面包屑导航显示当前页面路径</w:t>
      </w:r>
    </w:p>
    <w:p>
      <w:pPr>
        <w:numPr>
          <w:ilvl w:val="0"/>
          <w:numId w:val="1"/>
        </w:numPr>
      </w:pPr>
      <w:r>
        <w:rPr>
          <w:rFonts w:hint="eastAsia"/>
        </w:rPr>
        <w:t>页面切换使用淡入动画（200ms）</w:t>
      </w:r>
    </w:p>
    <w:p>
      <w:pPr>
        <w:numPr>
          <w:ilvl w:val="0"/>
          <w:numId w:val="1"/>
        </w:numPr>
      </w:pPr>
      <w:r>
        <w:rPr>
          <w:rFonts w:hint="eastAsia"/>
        </w:rPr>
        <w:t>支持浏览器前进/后退</w:t>
      </w:r>
    </w:p>
    <w:p>
      <w:pPr>
        <w:numPr>
          <w:ilvl w:val="0"/>
          <w:numId w:val="1"/>
        </w:numPr>
      </w:pPr>
      <w:r>
        <w:rPr>
          <w:rFonts w:hint="eastAsia"/>
        </w:rPr>
        <w:t>关键操作页面支持快捷键（如Ctrl+S保存）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数据加载</w:t>
      </w:r>
    </w:p>
    <w:p>
      <w:pPr>
        <w:numPr>
          <w:ilvl w:val="0"/>
          <w:numId w:val="1"/>
        </w:numPr>
      </w:pPr>
      <w:r>
        <w:rPr>
          <w:rFonts w:hint="eastAsia"/>
        </w:rPr>
        <w:t>表格数据：骨架屏（Skeleton）占位</w:t>
      </w:r>
    </w:p>
    <w:p>
      <w:pPr>
        <w:numPr>
          <w:ilvl w:val="0"/>
          <w:numId w:val="1"/>
        </w:numPr>
      </w:pPr>
      <w:r>
        <w:rPr>
          <w:rFonts w:hint="eastAsia"/>
        </w:rPr>
        <w:t>图表数据：Loading圆形动画居中</w:t>
      </w:r>
    </w:p>
    <w:p>
      <w:pPr>
        <w:numPr>
          <w:ilvl w:val="0"/>
          <w:numId w:val="1"/>
        </w:numPr>
      </w:pPr>
      <w:r>
        <w:rPr>
          <w:rFonts w:hint="eastAsia"/>
        </w:rPr>
        <w:t>大屏数据：分区域独立加载，先指标后图表</w:t>
      </w:r>
    </w:p>
    <w:p>
      <w:pPr>
        <w:numPr>
          <w:ilvl w:val="0"/>
          <w:numId w:val="1"/>
        </w:numPr>
      </w:pPr>
      <w:r>
        <w:rPr>
          <w:rFonts w:hint="eastAsia"/>
        </w:rPr>
        <w:t>列表分页：默认每页20条，支持切换50/100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空状态</w:t>
      </w:r>
    </w:p>
    <w:p>
      <w:pPr>
        <w:numPr>
          <w:ilvl w:val="0"/>
          <w:numId w:val="1"/>
        </w:numPr>
      </w:pPr>
      <w:r>
        <w:rPr>
          <w:rFonts w:hint="eastAsia"/>
        </w:rPr>
        <w:t>无数据时显示空状态插图 + 提示文字</w:t>
      </w:r>
    </w:p>
    <w:p>
      <w:pPr>
        <w:numPr>
          <w:ilvl w:val="0"/>
          <w:numId w:val="1"/>
        </w:numPr>
      </w:pPr>
      <w:r>
        <w:rPr>
          <w:rFonts w:hint="eastAsia"/>
        </w:rPr>
        <w:t>空状态提供引导操作按钮（如"创建釜次BOM"）</w:t>
      </w:r>
    </w:p>
    <w:p>
      <w:pPr>
        <w:numPr>
          <w:ilvl w:val="0"/>
          <w:numId w:val="1"/>
        </w:numPr>
      </w:pPr>
      <w:r>
        <w:rPr>
          <w:rFonts w:hint="eastAsia"/>
        </w:rPr>
        <w:t>搜索无结果时提供"清除筛选"快捷操作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图标规范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图标风格</w:t>
      </w:r>
    </w:p>
    <w:p>
      <w:pPr>
        <w:numPr>
          <w:ilvl w:val="0"/>
          <w:numId w:val="1"/>
        </w:numPr>
      </w:pPr>
      <w:r>
        <w:rPr>
          <w:rFonts w:hint="eastAsia"/>
        </w:rPr>
        <w:t>风格：线性图标（Outlined），2px线宽</w:t>
      </w:r>
    </w:p>
    <w:p>
      <w:pPr>
        <w:numPr>
          <w:ilvl w:val="0"/>
          <w:numId w:val="1"/>
        </w:numPr>
      </w:pPr>
      <w:r>
        <w:rPr>
          <w:rFonts w:hint="eastAsia"/>
        </w:rPr>
        <w:t>尺寸：16px（列表/标签）、20px（导航/工具栏）、24px（大屏/空状态）</w:t>
      </w:r>
    </w:p>
    <w:p>
      <w:pPr>
        <w:numPr>
          <w:ilvl w:val="0"/>
          <w:numId w:val="1"/>
        </w:numPr>
      </w:pPr>
      <w:r>
        <w:rPr>
          <w:rFonts w:hint="eastAsia"/>
        </w:rPr>
        <w:t>颜色：跟随文字色，支持状态色覆盖</w:t>
      </w:r>
    </w:p>
    <w:p>
      <w:pPr>
        <w:numPr>
          <w:ilvl w:val="0"/>
          <w:numId w:val="1"/>
        </w:numPr>
      </w:pPr>
      <w:r>
        <w:rPr>
          <w:rFonts w:hint="eastAsia"/>
        </w:rPr>
        <w:t>来源：优先使用 Ant Design Icon 或自绘SVG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核心功能图标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功能模块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图标描述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生产监控大屏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仪表盘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釜次BOM管理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文件清单/物料表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工序动作管理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流程步骤/列表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动作监控预警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盾牌/报警铃铛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变更管理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编辑/交换箭头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生产执行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播放/齿轮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标准动作库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书籍/数据库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决策分析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图表/趋势线</w:t>
            </w:r>
          </w:p>
        </w:tc>
      </w:tr>
      <w:tr>
        <w:trPr/>
        <w:tc>
          <w:tcPr>
            <w:tcW w:w="4153" w:type="dxa"/>
          </w:tcPr>
          <w:p>
            <w:r>
              <w:rPr>
                <w:rFonts w:hint="eastAsia"/>
              </w:rPr>
              <w:t>数据接口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连接线/网络节点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动效规范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动效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时长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缓动函数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页面切换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淡入</w:t>
            </w:r>
          </w:p>
        </w:tc>
        <w:tc>
          <w:tcPr>
            <w:tcW w:w="2076" w:type="dxa"/>
          </w:tcPr>
          <w:p>
            <w:r>
              <w:t>200ms</w:t>
            </w:r>
          </w:p>
        </w:tc>
        <w:tc>
          <w:tcPr>
            <w:tcW w:w="2076" w:type="dxa"/>
          </w:tcPr>
          <w:p>
            <w:r>
              <w:t>ease-out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弹窗打开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缩放+淡入</w:t>
            </w:r>
          </w:p>
        </w:tc>
        <w:tc>
          <w:tcPr>
            <w:tcW w:w="2076" w:type="dxa"/>
          </w:tcPr>
          <w:p>
            <w:r>
              <w:t>250ms</w:t>
            </w:r>
          </w:p>
        </w:tc>
        <w:tc>
          <w:tcPr>
            <w:tcW w:w="2076" w:type="dxa"/>
          </w:tcPr>
          <w:p>
            <w:r>
              <w:t>ease-out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弹窗关闭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缩放+淡出</w:t>
            </w:r>
          </w:p>
        </w:tc>
        <w:tc>
          <w:tcPr>
            <w:tcW w:w="2076" w:type="dxa"/>
          </w:tcPr>
          <w:p>
            <w:r>
              <w:t>200ms</w:t>
            </w:r>
          </w:p>
        </w:tc>
        <w:tc>
          <w:tcPr>
            <w:tcW w:w="2076" w:type="dxa"/>
          </w:tcPr>
          <w:p>
            <w:r>
              <w:t>ease-in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列表项加载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从下方滑入+淡入</w:t>
            </w:r>
          </w:p>
        </w:tc>
        <w:tc>
          <w:tcPr>
            <w:tcW w:w="2076" w:type="dxa"/>
          </w:tcPr>
          <w:p>
            <w:r>
              <w:t>300ms</w:t>
            </w:r>
          </w:p>
        </w:tc>
        <w:tc>
          <w:tcPr>
            <w:tcW w:w="2076" w:type="dxa"/>
          </w:tcPr>
          <w:p>
            <w:r>
              <w:t>ease-out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预警闪烁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透明度0.5→1.0循环</w:t>
            </w:r>
          </w:p>
        </w:tc>
        <w:tc>
          <w:tcPr>
            <w:tcW w:w="2076" w:type="dxa"/>
          </w:tcPr>
          <w:p>
            <w:r>
              <w:t>1s</w:t>
            </w:r>
          </w:p>
        </w:tc>
        <w:tc>
          <w:tcPr>
            <w:tcW w:w="2076" w:type="dxa"/>
          </w:tcPr>
          <w:p>
            <w:r>
              <w:t>linear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进度条更新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宽度平滑过渡</w:t>
            </w:r>
          </w:p>
        </w:tc>
        <w:tc>
          <w:tcPr>
            <w:tcW w:w="2076" w:type="dxa"/>
          </w:tcPr>
          <w:p>
            <w:r>
              <w:t>400ms</w:t>
            </w:r>
          </w:p>
        </w:tc>
        <w:tc>
          <w:tcPr>
            <w:tcW w:w="2076" w:type="dxa"/>
          </w:tcPr>
          <w:p>
            <w:r>
              <w:t>ease-out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数据数字变化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滚动计数动画</w:t>
            </w:r>
          </w:p>
        </w:tc>
        <w:tc>
          <w:tcPr>
            <w:tcW w:w="2076" w:type="dxa"/>
          </w:tcPr>
          <w:p>
            <w:r>
              <w:t>600ms</w:t>
            </w:r>
          </w:p>
        </w:tc>
        <w:tc>
          <w:tcPr>
            <w:tcW w:w="2076" w:type="dxa"/>
          </w:tcPr>
          <w:p>
            <w:r>
              <w:t>ease-out</w:t>
            </w:r>
          </w:p>
        </w:tc>
      </w:tr>
    </w:tbl>
    <w:p>
      <w:r>
        <w:rPr>
          <w:rFonts w:hint="eastAsia"/>
        </w:rPr>
        <w:t>动效原则：功能性优先，装饰性最小化。车间环境避免过多动效干扰操作注意力。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无障碍与安全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无障碍</w:t>
      </w:r>
    </w:p>
    <w:p>
      <w:pPr>
        <w:numPr>
          <w:ilvl w:val="0"/>
          <w:numId w:val="1"/>
        </w:numPr>
      </w:pPr>
      <w:r>
        <w:rPr>
          <w:rFonts w:hint="eastAsia"/>
        </w:rPr>
        <w:t>所有可交互元素支持键盘操作（Tab导航 + Enter确认）</w:t>
      </w:r>
    </w:p>
    <w:p>
      <w:pPr>
        <w:numPr>
          <w:ilvl w:val="0"/>
          <w:numId w:val="1"/>
        </w:numPr>
      </w:pPr>
      <w:r>
        <w:rPr>
          <w:rFonts w:hint="eastAsia"/>
        </w:rPr>
        <w:t>状态色不仅依赖颜色区分，同时使用文字/图标辅助标识</w:t>
      </w:r>
    </w:p>
    <w:p>
      <w:pPr>
        <w:numPr>
          <w:ilvl w:val="0"/>
          <w:numId w:val="1"/>
        </w:numPr>
      </w:pPr>
      <w:r>
        <w:rPr>
          <w:rFonts w:hint="eastAsia"/>
        </w:rPr>
        <w:t>图表提供数据表格替代视图</w:t>
      </w:r>
    </w:p>
    <w:p>
      <w:pPr>
        <w:numPr>
          <w:ilvl w:val="0"/>
          <w:numId w:val="1"/>
        </w:numPr>
      </w:pPr>
      <w:r>
        <w:rPr>
          <w:rFonts w:hint="eastAsia"/>
        </w:rPr>
        <w:t>表单控件关联label标签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安全设计</w:t>
      </w:r>
    </w:p>
    <w:p>
      <w:pPr>
        <w:numPr>
          <w:ilvl w:val="0"/>
          <w:numId w:val="1"/>
        </w:numPr>
      </w:pPr>
      <w:r>
        <w:rPr>
          <w:rFonts w:hint="eastAsia"/>
        </w:rPr>
        <w:t>阻断级操作需二次确认弹窗，弹窗文字加粗红色提示</w:t>
      </w:r>
    </w:p>
    <w:p>
      <w:pPr>
        <w:numPr>
          <w:ilvl w:val="0"/>
          <w:numId w:val="1"/>
        </w:numPr>
      </w:pPr>
      <w:r>
        <w:rPr>
          <w:rFonts w:hint="eastAsia"/>
        </w:rPr>
        <w:t>危险操作按钮与普通按钮保持足够间距（≥16px）</w:t>
      </w:r>
    </w:p>
    <w:p>
      <w:pPr>
        <w:numPr>
          <w:ilvl w:val="0"/>
          <w:numId w:val="1"/>
        </w:numPr>
      </w:pPr>
      <w:r>
        <w:rPr>
          <w:rFonts w:hint="eastAsia"/>
        </w:rPr>
        <w:t>关键操作记录操作日志（操作人、时间、操作内容）</w:t>
      </w:r>
    </w:p>
    <w:p>
      <w:pPr>
        <w:numPr>
          <w:ilvl w:val="0"/>
          <w:numId w:val="1"/>
        </w:numPr>
      </w:pPr>
      <w:r>
        <w:rPr>
          <w:rFonts w:hint="eastAsia"/>
        </w:rPr>
        <w:t>超时自动锁定（15分钟无操作），重新登录后恢复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 设计交付物清单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格式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UI设计规范文档</w:t>
            </w:r>
          </w:p>
        </w:tc>
        <w:tc>
          <w:tcPr>
            <w:tcW w:w="2768" w:type="dxa"/>
          </w:tcPr>
          <w:p>
            <w:r>
              <w:t>Word/PDF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本文档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组件库</w:t>
            </w:r>
          </w:p>
        </w:tc>
        <w:tc>
          <w:tcPr>
            <w:tcW w:w="2768" w:type="dxa"/>
          </w:tcPr>
          <w:p>
            <w:r>
              <w:t>Figma/Sketch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可复用组件源文件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页面原型</w:t>
            </w:r>
          </w:p>
        </w:tc>
        <w:tc>
          <w:tcPr>
            <w:tcW w:w="2768" w:type="dxa"/>
          </w:tcPr>
          <w:p>
            <w:r>
              <w:t>Figma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全量页面高保真原型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图标库</w:t>
            </w:r>
          </w:p>
        </w:tc>
        <w:tc>
          <w:tcPr>
            <w:tcW w:w="2768" w:type="dxa"/>
          </w:tcPr>
          <w:p>
            <w:r>
              <w:t>SVG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统一图标资源包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设计Token</w:t>
            </w:r>
          </w:p>
        </w:tc>
        <w:tc>
          <w:tcPr>
            <w:tcW w:w="2768" w:type="dxa"/>
          </w:tcPr>
          <w:p>
            <w:r>
              <w:t>JSON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色彩、字体、间距变量定义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交互说明文档</w:t>
            </w:r>
          </w:p>
        </w:tc>
        <w:tc>
          <w:tcPr>
            <w:tcW w:w="2768" w:type="dxa"/>
          </w:tcPr>
          <w:p>
            <w:r>
              <w:t>Word/PDF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关键流程交互细节说明</w:t>
            </w:r>
          </w:p>
        </w:tc>
      </w:tr>
    </w:tbl>
    <w:p>
      <w:r>
        <w:rPr>
          <w:rFonts w:hint="eastAsia"/>
          <w:i w:val="1"/>
        </w:rPr>
        <w:t>本文档为精细化工行业MES系统UI设计规范V1.0，建议与PRD文档配套使用。设计评审通过后，可基于本规范启动高保真原型设计。</w:t>
      </w:r>
    </w:p>
    <w:p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2026-07-31T12:35:03Z</dcterms:created>
  <dcterms:modified xsi:type="dcterms:W3CDTF">2026-07-31T12:35:03Z</dcterms:modified>
</cp:coreProperties>
</file>