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EBD" w:rsidRDefault="00755EBD" w:rsidP="00294EC4">
      <w:r>
        <w:t>Nguyễn Ngọc Hiếu</w:t>
      </w:r>
    </w:p>
    <w:p w:rsidR="00755EBD" w:rsidRDefault="00755EBD" w:rsidP="00294EC4">
      <w:r>
        <w:t>51800387</w:t>
      </w:r>
    </w:p>
    <w:p w:rsidR="00755EBD" w:rsidRDefault="00755EBD" w:rsidP="00294EC4">
      <w:r>
        <w:t>Nhóm 1 tổ 1</w:t>
      </w:r>
      <w:bookmarkStart w:id="0" w:name="_GoBack"/>
      <w:bookmarkEnd w:id="0"/>
    </w:p>
    <w:p w:rsidR="003D0100" w:rsidRDefault="00294EC4" w:rsidP="00294EC4">
      <w:r>
        <w:t>Lab 2:</w:t>
      </w:r>
    </w:p>
    <w:p w:rsidR="00294EC4" w:rsidRDefault="00294EC4" w:rsidP="00294EC4"/>
    <w:tbl>
      <w:tblPr>
        <w:tblStyle w:val="TableGrid"/>
        <w:tblW w:w="14215" w:type="dxa"/>
        <w:tblInd w:w="-1265" w:type="dxa"/>
        <w:tblLook w:val="04A0" w:firstRow="1" w:lastRow="0" w:firstColumn="1" w:lastColumn="0" w:noHBand="0" w:noVBand="1"/>
      </w:tblPr>
      <w:tblGrid>
        <w:gridCol w:w="1984"/>
        <w:gridCol w:w="2096"/>
        <w:gridCol w:w="1317"/>
        <w:gridCol w:w="1379"/>
        <w:gridCol w:w="2791"/>
        <w:gridCol w:w="2438"/>
        <w:gridCol w:w="2210"/>
      </w:tblGrid>
      <w:tr w:rsidR="008B243C" w:rsidTr="008B243C">
        <w:trPr>
          <w:trHeight w:val="710"/>
        </w:trPr>
        <w:tc>
          <w:tcPr>
            <w:tcW w:w="1984" w:type="dxa"/>
            <w:vMerge w:val="restart"/>
          </w:tcPr>
          <w:p w:rsidR="00803844" w:rsidRDefault="00803844" w:rsidP="00B87AA0">
            <w:pPr>
              <w:jc w:val="center"/>
            </w:pPr>
            <w:r>
              <w:t>Các Wed – App</w:t>
            </w:r>
          </w:p>
        </w:tc>
        <w:tc>
          <w:tcPr>
            <w:tcW w:w="2096" w:type="dxa"/>
            <w:vMerge w:val="restart"/>
          </w:tcPr>
          <w:p w:rsidR="00803844" w:rsidRDefault="00803844" w:rsidP="00B87AA0">
            <w:pPr>
              <w:jc w:val="center"/>
            </w:pPr>
            <w:r>
              <w:t>Thước đo đánh giá</w:t>
            </w:r>
          </w:p>
        </w:tc>
        <w:tc>
          <w:tcPr>
            <w:tcW w:w="10135" w:type="dxa"/>
            <w:gridSpan w:val="5"/>
          </w:tcPr>
          <w:p w:rsidR="00803844" w:rsidRDefault="00803844" w:rsidP="00B87AA0">
            <w:pPr>
              <w:jc w:val="center"/>
            </w:pPr>
            <w:r>
              <w:t>Khảo sát người dùng về sản phẩm</w:t>
            </w:r>
          </w:p>
        </w:tc>
      </w:tr>
      <w:tr w:rsidR="008B243C" w:rsidTr="008B243C">
        <w:trPr>
          <w:trHeight w:val="620"/>
        </w:trPr>
        <w:tc>
          <w:tcPr>
            <w:tcW w:w="1984" w:type="dxa"/>
            <w:vMerge/>
          </w:tcPr>
          <w:p w:rsidR="00803844" w:rsidRDefault="00803844" w:rsidP="00803844">
            <w:pPr>
              <w:jc w:val="center"/>
            </w:pPr>
          </w:p>
        </w:tc>
        <w:tc>
          <w:tcPr>
            <w:tcW w:w="2096" w:type="dxa"/>
            <w:vMerge/>
          </w:tcPr>
          <w:p w:rsidR="00803844" w:rsidRDefault="00803844" w:rsidP="00803844">
            <w:pPr>
              <w:jc w:val="center"/>
            </w:pPr>
          </w:p>
        </w:tc>
        <w:tc>
          <w:tcPr>
            <w:tcW w:w="1317" w:type="dxa"/>
          </w:tcPr>
          <w:p w:rsidR="00803844" w:rsidRDefault="00803844" w:rsidP="00803844">
            <w:pPr>
              <w:jc w:val="center"/>
            </w:pPr>
            <w:r>
              <w:t>Nhóm tuổi người dùng</w:t>
            </w:r>
          </w:p>
        </w:tc>
        <w:tc>
          <w:tcPr>
            <w:tcW w:w="1379" w:type="dxa"/>
          </w:tcPr>
          <w:p w:rsidR="00803844" w:rsidRDefault="00803844" w:rsidP="00803844">
            <w:pPr>
              <w:jc w:val="center"/>
            </w:pPr>
            <w:r>
              <w:t>Trình độ người dùng</w:t>
            </w:r>
          </w:p>
        </w:tc>
        <w:tc>
          <w:tcPr>
            <w:tcW w:w="2791" w:type="dxa"/>
          </w:tcPr>
          <w:p w:rsidR="00803844" w:rsidRDefault="00803844" w:rsidP="00803844">
            <w:pPr>
              <w:jc w:val="center"/>
            </w:pPr>
            <w:r>
              <w:t>Điểm mạnh</w:t>
            </w:r>
          </w:p>
        </w:tc>
        <w:tc>
          <w:tcPr>
            <w:tcW w:w="2438" w:type="dxa"/>
          </w:tcPr>
          <w:p w:rsidR="00803844" w:rsidRDefault="00803844" w:rsidP="00803844">
            <w:pPr>
              <w:jc w:val="center"/>
            </w:pPr>
            <w:r>
              <w:t>Điểm yếu</w:t>
            </w:r>
          </w:p>
        </w:tc>
        <w:tc>
          <w:tcPr>
            <w:tcW w:w="2210" w:type="dxa"/>
          </w:tcPr>
          <w:p w:rsidR="00803844" w:rsidRDefault="00803844" w:rsidP="00803844">
            <w:pPr>
              <w:jc w:val="center"/>
            </w:pPr>
            <w:r>
              <w:t>Các chức năng ưu tiên của sản phẩm</w:t>
            </w:r>
          </w:p>
        </w:tc>
      </w:tr>
      <w:tr w:rsidR="008B243C" w:rsidTr="008B243C">
        <w:trPr>
          <w:trHeight w:val="2330"/>
        </w:trPr>
        <w:tc>
          <w:tcPr>
            <w:tcW w:w="1984" w:type="dxa"/>
          </w:tcPr>
          <w:p w:rsidR="00803844" w:rsidRDefault="005F4120" w:rsidP="00803844">
            <w:pPr>
              <w:jc w:val="center"/>
            </w:pPr>
            <w:r>
              <w:t>coursea</w:t>
            </w:r>
          </w:p>
        </w:tc>
        <w:tc>
          <w:tcPr>
            <w:tcW w:w="2096" w:type="dxa"/>
          </w:tcPr>
          <w:p w:rsidR="00803844" w:rsidRDefault="00755EBD" w:rsidP="00803844">
            <w:pPr>
              <w:jc w:val="center"/>
            </w:pPr>
            <w:r>
              <w:t>Lượng người đăng kí,</w:t>
            </w:r>
          </w:p>
          <w:p w:rsidR="00755EBD" w:rsidRDefault="00755EBD" w:rsidP="00755EBD">
            <w:r>
              <w:t>Thời gian các video đc xem</w:t>
            </w:r>
          </w:p>
        </w:tc>
        <w:tc>
          <w:tcPr>
            <w:tcW w:w="1317" w:type="dxa"/>
          </w:tcPr>
          <w:p w:rsidR="00803844" w:rsidRDefault="00755EBD" w:rsidP="00803844">
            <w:pPr>
              <w:jc w:val="center"/>
            </w:pPr>
            <w:r>
              <w:t>18-25</w:t>
            </w:r>
          </w:p>
        </w:tc>
        <w:tc>
          <w:tcPr>
            <w:tcW w:w="1379" w:type="dxa"/>
          </w:tcPr>
          <w:p w:rsidR="00803844" w:rsidRDefault="00755EBD" w:rsidP="00803844">
            <w:pPr>
              <w:jc w:val="center"/>
            </w:pPr>
            <w:r>
              <w:t>Học sinh, sinh viên là chủ yếu</w:t>
            </w:r>
          </w:p>
        </w:tc>
        <w:tc>
          <w:tcPr>
            <w:tcW w:w="2791" w:type="dxa"/>
          </w:tcPr>
          <w:p w:rsidR="00803844" w:rsidRDefault="00755EBD" w:rsidP="00803844">
            <w:pPr>
              <w:jc w:val="center"/>
            </w:pPr>
            <w:r>
              <w:t>Đa dạng các khóa học với nhiều chủ đề khác nhau. Có diễn đàn để thảo luận, khóa học được mua không giới hạn lần xem, có các khóa học miễn phí.</w:t>
            </w:r>
          </w:p>
        </w:tc>
        <w:tc>
          <w:tcPr>
            <w:tcW w:w="2438" w:type="dxa"/>
          </w:tcPr>
          <w:p w:rsidR="00803844" w:rsidRDefault="00755EBD" w:rsidP="00803844">
            <w:pPr>
              <w:jc w:val="center"/>
            </w:pPr>
            <w:r>
              <w:t>Ít các khóa học có dịch thuật ra nhiều thứ tiếng khác nhau</w:t>
            </w:r>
          </w:p>
        </w:tc>
        <w:tc>
          <w:tcPr>
            <w:tcW w:w="2210" w:type="dxa"/>
          </w:tcPr>
          <w:p w:rsidR="00803844" w:rsidRDefault="00755EBD" w:rsidP="00803844">
            <w:pPr>
              <w:jc w:val="center"/>
            </w:pPr>
            <w:r>
              <w:t>Xem video</w:t>
            </w:r>
          </w:p>
        </w:tc>
      </w:tr>
      <w:tr w:rsidR="003A2D68" w:rsidTr="008B243C">
        <w:trPr>
          <w:trHeight w:val="2330"/>
        </w:trPr>
        <w:tc>
          <w:tcPr>
            <w:tcW w:w="1984" w:type="dxa"/>
          </w:tcPr>
          <w:p w:rsidR="003A2D68" w:rsidRDefault="00755EBD" w:rsidP="00803844">
            <w:pPr>
              <w:jc w:val="center"/>
            </w:pPr>
            <w:r>
              <w:t>batdongsan</w:t>
            </w:r>
          </w:p>
        </w:tc>
        <w:tc>
          <w:tcPr>
            <w:tcW w:w="2096" w:type="dxa"/>
          </w:tcPr>
          <w:p w:rsidR="003A2D68" w:rsidRDefault="00755EBD" w:rsidP="00803844">
            <w:pPr>
              <w:jc w:val="center"/>
            </w:pPr>
            <w:r>
              <w:t xml:space="preserve">Số lượng người tương tác và số bài đăng </w:t>
            </w:r>
          </w:p>
        </w:tc>
        <w:tc>
          <w:tcPr>
            <w:tcW w:w="1317" w:type="dxa"/>
          </w:tcPr>
          <w:p w:rsidR="003A2D68" w:rsidRDefault="00755EBD" w:rsidP="00803844">
            <w:pPr>
              <w:jc w:val="center"/>
            </w:pPr>
            <w:r>
              <w:t xml:space="preserve">Đa dạng </w:t>
            </w:r>
          </w:p>
        </w:tc>
        <w:tc>
          <w:tcPr>
            <w:tcW w:w="1379" w:type="dxa"/>
          </w:tcPr>
          <w:p w:rsidR="003A2D68" w:rsidRDefault="00755EBD" w:rsidP="00803844">
            <w:pPr>
              <w:jc w:val="center"/>
            </w:pPr>
            <w:r>
              <w:t xml:space="preserve">Đa dạng </w:t>
            </w:r>
          </w:p>
        </w:tc>
        <w:tc>
          <w:tcPr>
            <w:tcW w:w="2791" w:type="dxa"/>
          </w:tcPr>
          <w:p w:rsidR="003A2D68" w:rsidRDefault="00755EBD" w:rsidP="00803844">
            <w:pPr>
              <w:jc w:val="center"/>
            </w:pPr>
            <w:r>
              <w:t xml:space="preserve">Tìm được các BDS theo vị trí, mức giá,..Gợi ý các khu vực cho thuê ở gần nhất. Cho phép đăng nhiều BDS </w:t>
            </w:r>
          </w:p>
        </w:tc>
        <w:tc>
          <w:tcPr>
            <w:tcW w:w="2438" w:type="dxa"/>
          </w:tcPr>
          <w:p w:rsidR="003A2D68" w:rsidRDefault="00755EBD" w:rsidP="00803844">
            <w:pPr>
              <w:jc w:val="center"/>
            </w:pPr>
            <w:r>
              <w:t>Thu thập quá nhiều thông tin người đăng kí khi không cần thiết</w:t>
            </w:r>
          </w:p>
        </w:tc>
        <w:tc>
          <w:tcPr>
            <w:tcW w:w="2210" w:type="dxa"/>
          </w:tcPr>
          <w:p w:rsidR="003A2D68" w:rsidRDefault="00755EBD" w:rsidP="00803844">
            <w:pPr>
              <w:jc w:val="center"/>
            </w:pPr>
            <w:r>
              <w:t>Tìm kiếm, liên hệ</w:t>
            </w:r>
          </w:p>
        </w:tc>
      </w:tr>
      <w:tr w:rsidR="003A2D68" w:rsidTr="008B243C">
        <w:trPr>
          <w:trHeight w:val="2492"/>
        </w:trPr>
        <w:tc>
          <w:tcPr>
            <w:tcW w:w="1984" w:type="dxa"/>
          </w:tcPr>
          <w:p w:rsidR="003A2D68" w:rsidRDefault="003A2D68" w:rsidP="003A2D68">
            <w:pPr>
              <w:jc w:val="center"/>
            </w:pPr>
            <w:r>
              <w:lastRenderedPageBreak/>
              <w:t>Tiki</w:t>
            </w:r>
          </w:p>
        </w:tc>
        <w:tc>
          <w:tcPr>
            <w:tcW w:w="2096" w:type="dxa"/>
          </w:tcPr>
          <w:p w:rsidR="003A2D68" w:rsidRDefault="003A2D68" w:rsidP="003A2D68">
            <w:pPr>
              <w:jc w:val="center"/>
            </w:pPr>
            <w:r>
              <w:t>Lượng người mua hàng</w:t>
            </w:r>
          </w:p>
        </w:tc>
        <w:tc>
          <w:tcPr>
            <w:tcW w:w="1317" w:type="dxa"/>
          </w:tcPr>
          <w:p w:rsidR="003A2D68" w:rsidRDefault="003A2D68" w:rsidP="003A2D68">
            <w:pPr>
              <w:jc w:val="center"/>
            </w:pPr>
            <w:r>
              <w:t>Đa phần từ 18-30</w:t>
            </w:r>
          </w:p>
        </w:tc>
        <w:tc>
          <w:tcPr>
            <w:tcW w:w="1379" w:type="dxa"/>
          </w:tcPr>
          <w:p w:rsidR="003A2D68" w:rsidRDefault="003A2D68" w:rsidP="003A2D68">
            <w:pPr>
              <w:jc w:val="center"/>
            </w:pPr>
            <w:r>
              <w:t>Chủ yếu là đại học, công nhân</w:t>
            </w:r>
          </w:p>
        </w:tc>
        <w:tc>
          <w:tcPr>
            <w:tcW w:w="2791" w:type="dxa"/>
          </w:tcPr>
          <w:p w:rsidR="003A2D68" w:rsidRDefault="003A2D68" w:rsidP="003A2D68">
            <w:pPr>
              <w:jc w:val="center"/>
            </w:pPr>
            <w:r>
              <w:t>Giao hàng nhanh trong nội thành. Chế độ ưu đãi nhiều. Thanh toán với nhiều hình thức.Có thể theo dõi đơn hàng từ xa</w:t>
            </w:r>
          </w:p>
        </w:tc>
        <w:tc>
          <w:tcPr>
            <w:tcW w:w="2438" w:type="dxa"/>
          </w:tcPr>
          <w:p w:rsidR="003A2D68" w:rsidRDefault="003A2D68" w:rsidP="003A2D68">
            <w:pPr>
              <w:jc w:val="center"/>
            </w:pPr>
            <w:r>
              <w:t>Giao hàng còn chậm ở các khu vực ngoại thành.</w:t>
            </w:r>
          </w:p>
          <w:p w:rsidR="003A2D68" w:rsidRDefault="003A2D68" w:rsidP="003A2D68">
            <w:pPr>
              <w:jc w:val="center"/>
            </w:pPr>
            <w:r>
              <w:t>Các loại hàng hóa được phân loại quá rường rà. Khó khăn trong việc tìm kiếm sản phẩm qua thanh tìm kiếm</w:t>
            </w:r>
          </w:p>
        </w:tc>
        <w:tc>
          <w:tcPr>
            <w:tcW w:w="2210" w:type="dxa"/>
          </w:tcPr>
          <w:p w:rsidR="003A2D68" w:rsidRDefault="003A2D68" w:rsidP="003A2D68">
            <w:pPr>
              <w:jc w:val="center"/>
            </w:pPr>
            <w:r>
              <w:t>Tìm kiếm sản phẩm.</w:t>
            </w:r>
          </w:p>
          <w:p w:rsidR="003A2D68" w:rsidRDefault="003A2D68" w:rsidP="003A2D68">
            <w:pPr>
              <w:jc w:val="center"/>
            </w:pPr>
            <w:r>
              <w:t>Thanh toán và theo dõi đơn hàng</w:t>
            </w:r>
          </w:p>
        </w:tc>
      </w:tr>
      <w:tr w:rsidR="003A2D68" w:rsidTr="008B243C">
        <w:trPr>
          <w:trHeight w:val="2168"/>
        </w:trPr>
        <w:tc>
          <w:tcPr>
            <w:tcW w:w="1984" w:type="dxa"/>
          </w:tcPr>
          <w:p w:rsidR="003A2D68" w:rsidRDefault="003A2D68" w:rsidP="003A2D68">
            <w:pPr>
              <w:jc w:val="center"/>
            </w:pPr>
            <w:r>
              <w:t>Grab</w:t>
            </w:r>
          </w:p>
        </w:tc>
        <w:tc>
          <w:tcPr>
            <w:tcW w:w="2096" w:type="dxa"/>
          </w:tcPr>
          <w:p w:rsidR="003A2D68" w:rsidRDefault="003A2D68" w:rsidP="003A2D68">
            <w:pPr>
              <w:jc w:val="center"/>
            </w:pPr>
            <w:r>
              <w:t>Lượt người tải về, mạng lưới di chuyển.</w:t>
            </w:r>
          </w:p>
        </w:tc>
        <w:tc>
          <w:tcPr>
            <w:tcW w:w="1317" w:type="dxa"/>
          </w:tcPr>
          <w:p w:rsidR="003A2D68" w:rsidRDefault="003A2D68" w:rsidP="003A2D68">
            <w:pPr>
              <w:jc w:val="center"/>
            </w:pPr>
            <w:r>
              <w:t>Chủ yếu từ 18-30</w:t>
            </w:r>
          </w:p>
        </w:tc>
        <w:tc>
          <w:tcPr>
            <w:tcW w:w="1379" w:type="dxa"/>
          </w:tcPr>
          <w:p w:rsidR="003A2D68" w:rsidRDefault="003A2D68" w:rsidP="003A2D68">
            <w:pPr>
              <w:jc w:val="center"/>
            </w:pPr>
            <w:r>
              <w:t>Công nhân, học sinh, sinh viên</w:t>
            </w:r>
          </w:p>
        </w:tc>
        <w:tc>
          <w:tcPr>
            <w:tcW w:w="2791" w:type="dxa"/>
          </w:tcPr>
          <w:p w:rsidR="003A2D68" w:rsidRDefault="003A2D68" w:rsidP="003A2D68">
            <w:pPr>
              <w:jc w:val="center"/>
            </w:pPr>
            <w:r>
              <w:t>Có thể theo dõi định vị thông qua map.</w:t>
            </w:r>
          </w:p>
          <w:p w:rsidR="003A2D68" w:rsidRDefault="003A2D68" w:rsidP="003A2D68">
            <w:pPr>
              <w:jc w:val="center"/>
            </w:pPr>
            <w:r>
              <w:t>Phát triển nhiều hình thức vận chuyển, giao hàng,…Nhiều hình thức thanh toán khác nhau. Liên kết với nhiều nhà hàng, quán ăn với nhiều ưu đãi</w:t>
            </w:r>
          </w:p>
        </w:tc>
        <w:tc>
          <w:tcPr>
            <w:tcW w:w="2438" w:type="dxa"/>
          </w:tcPr>
          <w:p w:rsidR="003A2D68" w:rsidRDefault="003A2D68" w:rsidP="003A2D68">
            <w:pPr>
              <w:jc w:val="center"/>
            </w:pPr>
            <w:r>
              <w:t>Việc kiểm soát thông tin người dùng vẫn còn yếu.</w:t>
            </w:r>
          </w:p>
        </w:tc>
        <w:tc>
          <w:tcPr>
            <w:tcW w:w="2210" w:type="dxa"/>
          </w:tcPr>
          <w:p w:rsidR="003A2D68" w:rsidRDefault="003A2D68" w:rsidP="003A2D68">
            <w:pPr>
              <w:jc w:val="center"/>
            </w:pPr>
            <w:r>
              <w:t>Grabike và grab food là thế mạnh. Tìm kiếm tài xế và tối ưu hóa hành trình</w:t>
            </w:r>
          </w:p>
        </w:tc>
      </w:tr>
      <w:tr w:rsidR="003A2D68" w:rsidTr="008B243C">
        <w:trPr>
          <w:trHeight w:val="890"/>
        </w:trPr>
        <w:tc>
          <w:tcPr>
            <w:tcW w:w="1984" w:type="dxa"/>
          </w:tcPr>
          <w:p w:rsidR="003A2D68" w:rsidRDefault="003A2D68" w:rsidP="003A2D68">
            <w:pPr>
              <w:jc w:val="center"/>
            </w:pPr>
            <w:r>
              <w:t>Ví MoMo</w:t>
            </w:r>
          </w:p>
        </w:tc>
        <w:tc>
          <w:tcPr>
            <w:tcW w:w="2096" w:type="dxa"/>
          </w:tcPr>
          <w:p w:rsidR="003A2D68" w:rsidRDefault="003A2D68" w:rsidP="003A2D68">
            <w:pPr>
              <w:jc w:val="center"/>
            </w:pPr>
            <w:r>
              <w:t>Lược download trên appstore và GGplay, lược chuyển khoản hoặc thanh toán trong khoảng thời gian nhất định.</w:t>
            </w:r>
          </w:p>
        </w:tc>
        <w:tc>
          <w:tcPr>
            <w:tcW w:w="1317" w:type="dxa"/>
          </w:tcPr>
          <w:p w:rsidR="003A2D68" w:rsidRDefault="003A2D68" w:rsidP="003A2D68">
            <w:pPr>
              <w:jc w:val="center"/>
            </w:pPr>
            <w:r>
              <w:t>Từ 18 tới 30 là đa số</w:t>
            </w:r>
          </w:p>
        </w:tc>
        <w:tc>
          <w:tcPr>
            <w:tcW w:w="1379" w:type="dxa"/>
          </w:tcPr>
          <w:p w:rsidR="003A2D68" w:rsidRDefault="003A2D68" w:rsidP="003A2D68">
            <w:pPr>
              <w:jc w:val="center"/>
            </w:pPr>
            <w:r>
              <w:t>Học sinh, sinh viên</w:t>
            </w:r>
          </w:p>
        </w:tc>
        <w:tc>
          <w:tcPr>
            <w:tcW w:w="2791" w:type="dxa"/>
          </w:tcPr>
          <w:p w:rsidR="003A2D68" w:rsidRDefault="003A2D68" w:rsidP="003A2D68">
            <w:r>
              <w:t>Giúp quá trình chuyển khoản nhanh chóng không phải ra ngân hàng và hỗ trợ các chức năng như thanh toán hóa đơn, thanh toán mua sắm online. Thường xuyên có những chương trình khuyến mãi. Tặng người dùng nhiều voucher để tăng lượng giao dịch</w:t>
            </w:r>
          </w:p>
        </w:tc>
        <w:tc>
          <w:tcPr>
            <w:tcW w:w="2438" w:type="dxa"/>
          </w:tcPr>
          <w:p w:rsidR="003A2D68" w:rsidRDefault="003A2D68" w:rsidP="003A2D68">
            <w:pPr>
              <w:jc w:val="center"/>
            </w:pPr>
            <w:r>
              <w:t>Phí rút tiền cao.</w:t>
            </w:r>
          </w:p>
        </w:tc>
        <w:tc>
          <w:tcPr>
            <w:tcW w:w="2210" w:type="dxa"/>
          </w:tcPr>
          <w:p w:rsidR="003A2D68" w:rsidRDefault="003A2D68" w:rsidP="003A2D68">
            <w:pPr>
              <w:jc w:val="both"/>
            </w:pPr>
            <w:r>
              <w:t>Nạp tiền điện thoại.</w:t>
            </w:r>
          </w:p>
          <w:p w:rsidR="003A2D68" w:rsidRDefault="003A2D68" w:rsidP="003A2D68">
            <w:pPr>
              <w:jc w:val="both"/>
            </w:pPr>
            <w:r>
              <w:t>Chuyển khoản.</w:t>
            </w:r>
          </w:p>
          <w:p w:rsidR="003A2D68" w:rsidRDefault="003A2D68" w:rsidP="003A2D68">
            <w:pPr>
              <w:jc w:val="both"/>
            </w:pPr>
            <w:r>
              <w:t>Thanh toán hóa đơn.</w:t>
            </w:r>
          </w:p>
          <w:p w:rsidR="003A2D68" w:rsidRDefault="003A2D68" w:rsidP="003A2D68">
            <w:pPr>
              <w:jc w:val="both"/>
            </w:pPr>
            <w:r>
              <w:t>Thanh toán giao đồ ăn.</w:t>
            </w:r>
          </w:p>
          <w:p w:rsidR="003A2D68" w:rsidRDefault="003A2D68" w:rsidP="003A2D68">
            <w:pPr>
              <w:jc w:val="both"/>
            </w:pPr>
            <w:r>
              <w:t>Thanh toán tại quầy.</w:t>
            </w:r>
          </w:p>
        </w:tc>
      </w:tr>
    </w:tbl>
    <w:p w:rsidR="00294EC4" w:rsidRDefault="00294EC4" w:rsidP="00294EC4">
      <w:pPr>
        <w:jc w:val="center"/>
      </w:pPr>
    </w:p>
    <w:p w:rsidR="00294EC4" w:rsidRPr="00294EC4" w:rsidRDefault="00755EBD" w:rsidP="00294EC4">
      <w:r>
        <w:rPr>
          <w:noProof/>
        </w:rPr>
        <w:lastRenderedPageBreak/>
        <w:drawing>
          <wp:inline distT="0" distB="0" distL="0" distR="0">
            <wp:extent cx="8229600" cy="5842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UserPersona.png"/>
                    <pic:cNvPicPr/>
                  </pic:nvPicPr>
                  <pic:blipFill>
                    <a:blip r:embed="rId6">
                      <a:extLst>
                        <a:ext uri="{28A0092B-C50C-407E-A947-70E740481C1C}">
                          <a14:useLocalDpi xmlns:a14="http://schemas.microsoft.com/office/drawing/2010/main" val="0"/>
                        </a:ext>
                      </a:extLst>
                    </a:blip>
                    <a:stretch>
                      <a:fillRect/>
                    </a:stretch>
                  </pic:blipFill>
                  <pic:spPr>
                    <a:xfrm>
                      <a:off x="0" y="0"/>
                      <a:ext cx="8229600" cy="5842635"/>
                    </a:xfrm>
                    <a:prstGeom prst="rect">
                      <a:avLst/>
                    </a:prstGeom>
                  </pic:spPr>
                </pic:pic>
              </a:graphicData>
            </a:graphic>
          </wp:inline>
        </w:drawing>
      </w:r>
      <w:r>
        <w:rPr>
          <w:noProof/>
        </w:rPr>
        <w:lastRenderedPageBreak/>
        <w:drawing>
          <wp:inline distT="0" distB="0" distL="0" distR="0">
            <wp:extent cx="8229600" cy="4798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UserPersona2.png"/>
                    <pic:cNvPicPr/>
                  </pic:nvPicPr>
                  <pic:blipFill>
                    <a:blip r:embed="rId7">
                      <a:extLst>
                        <a:ext uri="{28A0092B-C50C-407E-A947-70E740481C1C}">
                          <a14:useLocalDpi xmlns:a14="http://schemas.microsoft.com/office/drawing/2010/main" val="0"/>
                        </a:ext>
                      </a:extLst>
                    </a:blip>
                    <a:stretch>
                      <a:fillRect/>
                    </a:stretch>
                  </pic:blipFill>
                  <pic:spPr>
                    <a:xfrm>
                      <a:off x="0" y="0"/>
                      <a:ext cx="8229600" cy="4798060"/>
                    </a:xfrm>
                    <a:prstGeom prst="rect">
                      <a:avLst/>
                    </a:prstGeom>
                  </pic:spPr>
                </pic:pic>
              </a:graphicData>
            </a:graphic>
          </wp:inline>
        </w:drawing>
      </w:r>
      <w:r>
        <w:rPr>
          <w:noProof/>
        </w:rPr>
        <w:lastRenderedPageBreak/>
        <w:drawing>
          <wp:inline distT="0" distB="0" distL="0" distR="0">
            <wp:extent cx="8229600" cy="5478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UserPersona3.png"/>
                    <pic:cNvPicPr/>
                  </pic:nvPicPr>
                  <pic:blipFill>
                    <a:blip r:embed="rId8">
                      <a:extLst>
                        <a:ext uri="{28A0092B-C50C-407E-A947-70E740481C1C}">
                          <a14:useLocalDpi xmlns:a14="http://schemas.microsoft.com/office/drawing/2010/main" val="0"/>
                        </a:ext>
                      </a:extLst>
                    </a:blip>
                    <a:stretch>
                      <a:fillRect/>
                    </a:stretch>
                  </pic:blipFill>
                  <pic:spPr>
                    <a:xfrm>
                      <a:off x="0" y="0"/>
                      <a:ext cx="8229600" cy="5478780"/>
                    </a:xfrm>
                    <a:prstGeom prst="rect">
                      <a:avLst/>
                    </a:prstGeom>
                  </pic:spPr>
                </pic:pic>
              </a:graphicData>
            </a:graphic>
          </wp:inline>
        </w:drawing>
      </w:r>
    </w:p>
    <w:sectPr w:rsidR="00294EC4" w:rsidRPr="00294EC4" w:rsidSect="00294EC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A5759"/>
    <w:multiLevelType w:val="multilevel"/>
    <w:tmpl w:val="4B988AF4"/>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8A26969"/>
    <w:multiLevelType w:val="multilevel"/>
    <w:tmpl w:val="29E800DE"/>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FEA3CD8"/>
    <w:multiLevelType w:val="hybridMultilevel"/>
    <w:tmpl w:val="4B988AF4"/>
    <w:lvl w:ilvl="0" w:tplc="1B0CEB6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AC4B73"/>
    <w:multiLevelType w:val="hybridMultilevel"/>
    <w:tmpl w:val="29E800DE"/>
    <w:lvl w:ilvl="0" w:tplc="B7E2DBA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EC4"/>
    <w:rsid w:val="00294EC4"/>
    <w:rsid w:val="003A2D68"/>
    <w:rsid w:val="003D0100"/>
    <w:rsid w:val="005F4120"/>
    <w:rsid w:val="00755EBD"/>
    <w:rsid w:val="00803844"/>
    <w:rsid w:val="008B243C"/>
    <w:rsid w:val="00A35FB8"/>
    <w:rsid w:val="00F25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4E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243C"/>
    <w:pPr>
      <w:ind w:left="720"/>
      <w:contextualSpacing/>
    </w:pPr>
  </w:style>
  <w:style w:type="paragraph" w:styleId="BalloonText">
    <w:name w:val="Balloon Text"/>
    <w:basedOn w:val="Normal"/>
    <w:link w:val="BalloonTextChar"/>
    <w:uiPriority w:val="99"/>
    <w:semiHidden/>
    <w:unhideWhenUsed/>
    <w:rsid w:val="00755E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E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4E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243C"/>
    <w:pPr>
      <w:ind w:left="720"/>
      <w:contextualSpacing/>
    </w:pPr>
  </w:style>
  <w:style w:type="paragraph" w:styleId="BalloonText">
    <w:name w:val="Balloon Text"/>
    <w:basedOn w:val="Normal"/>
    <w:link w:val="BalloonTextChar"/>
    <w:uiPriority w:val="99"/>
    <w:semiHidden/>
    <w:unhideWhenUsed/>
    <w:rsid w:val="00755E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E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750424">
      <w:bodyDiv w:val="1"/>
      <w:marLeft w:val="0"/>
      <w:marRight w:val="0"/>
      <w:marTop w:val="0"/>
      <w:marBottom w:val="0"/>
      <w:divBdr>
        <w:top w:val="none" w:sz="0" w:space="0" w:color="auto"/>
        <w:left w:val="none" w:sz="0" w:space="0" w:color="auto"/>
        <w:bottom w:val="none" w:sz="0" w:space="0" w:color="auto"/>
        <w:right w:val="none" w:sz="0" w:space="0" w:color="auto"/>
      </w:divBdr>
    </w:div>
    <w:div w:id="26739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4</cp:revision>
  <dcterms:created xsi:type="dcterms:W3CDTF">2020-09-05T08:40:00Z</dcterms:created>
  <dcterms:modified xsi:type="dcterms:W3CDTF">2020-09-11T09:00:00Z</dcterms:modified>
</cp:coreProperties>
</file>