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FREQUENTLY ASKED QUESTIONS AND ANSWERS FOR TRADELITE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types of gift cards can I sell on TradeLite?</w:t>
      </w:r>
    </w:p>
    <w:p w:rsidR="00000000" w:rsidDel="00000000" w:rsidP="00000000" w:rsidRDefault="00000000" w:rsidRPr="00000000" w14:paraId="00000004">
      <w:pPr>
        <w:ind w:left="720" w:firstLine="0"/>
        <w:rPr/>
      </w:pPr>
      <w:r w:rsidDel="00000000" w:rsidR="00000000" w:rsidRPr="00000000">
        <w:rPr>
          <w:rtl w:val="0"/>
        </w:rPr>
        <w:t xml:space="preserve">You can sell a variety of gift cards on TradeLite, including retail, restaurant, entertainment, fashion, tech, travel, and more. Check TradeLite's guidelines for specific brands and restrictions.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do I get paid for my sold gift cards?</w:t>
      </w:r>
    </w:p>
    <w:p w:rsidR="00000000" w:rsidDel="00000000" w:rsidP="00000000" w:rsidRDefault="00000000" w:rsidRPr="00000000" w14:paraId="00000007">
      <w:pPr>
        <w:ind w:left="720" w:firstLine="0"/>
        <w:rPr/>
      </w:pPr>
      <w:r w:rsidDel="00000000" w:rsidR="00000000" w:rsidRPr="00000000">
        <w:rPr>
          <w:rtl w:val="0"/>
        </w:rPr>
        <w:t xml:space="preserve">You receive payment through TradeLite after a successful trade.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Is my personal and financial information secure on TradeLite?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Yes, TradeLite takes your security seriously. We use robust encryption and security measures to protect your personal and financial information, ensuring a secure trading environment.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fees are associated with using TradeLite?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Fees can vary based on the specific services and transactions you use on our platform. We recommend checking our platform for detailed fee information to understand any charges associated with your trades.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How can I start P2P trading of crypto for Naira or Ghana cedis?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To begin P2P trading, sign up on our platform and complete the necessary verification steps. Then, explore our P2P marketplace to find suitable trading partners and initiate transactions.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precautions should I take when engaging in P2P crypto trading?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 P2P crypto trading, it's crucial to verify the identity and reputation of your trading partners. Use secure payment methods, conduct trades within the platform, and be cautious of potential fraud or scams. Our platform provides guidelines to help you trade safely.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d1d5db"/>
          <w:sz w:val="24"/>
          <w:szCs w:val="24"/>
          <w:shd w:fill="444654"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