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A192E">
      <w:pPr>
        <w:pStyle w:val="17"/>
      </w:pPr>
      <w:bookmarkStart w:id="0" w:name="X256ae8c1cafc3fa8ec853f552814cc2dae60aea"/>
      <w:r>
        <w:t>基于终端波形数据的电能质量</w:t>
      </w:r>
      <w:r>
        <w:t xml:space="preserve"> AI </w:t>
      </w:r>
      <w:r>
        <w:t>应用需求</w:t>
      </w:r>
      <w:r>
        <w:t>及分工</w:t>
      </w:r>
      <w:r>
        <w:t>手册</w:t>
      </w:r>
    </w:p>
    <w:p w14:paraId="1A78C32D">
      <w:pPr>
        <w:pStyle w:val="3"/>
        <w:rPr>
          <w:rFonts w:ascii="Times New Roman" w:hAnsi="Times New Roman" w:eastAsia="宋体" w:cs="Times New Roman"/>
          <w:sz w:val="24"/>
          <w:szCs w:val="24"/>
        </w:rPr>
      </w:pPr>
      <w:r>
        <w:rPr>
          <w:rFonts w:ascii="Times New Roman" w:hAnsi="Times New Roman" w:eastAsia="宋体" w:cs="Times New Roman"/>
          <w:sz w:val="24"/>
          <w:szCs w:val="24"/>
        </w:rPr>
        <w:t>版本：V0.1</w:t>
      </w:r>
    </w:p>
    <w:p w14:paraId="77F877F5">
      <w:pPr>
        <w:pStyle w:val="3"/>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牵头单位：</w:t>
      </w:r>
      <w:r>
        <w:rPr>
          <w:rFonts w:hint="eastAsia" w:cs="Times New Roman"/>
          <w:sz w:val="24"/>
          <w:szCs w:val="24"/>
          <w:lang w:val="en-US" w:eastAsia="zh-CN"/>
        </w:rPr>
        <w:t>科大智能</w:t>
      </w:r>
    </w:p>
    <w:p w14:paraId="3DBCB62F">
      <w:pPr>
        <w:pStyle w:val="3"/>
        <w:rPr>
          <w:rFonts w:ascii="Times New Roman" w:hAnsi="Times New Roman" w:eastAsia="宋体" w:cs="Times New Roman"/>
          <w:sz w:val="24"/>
          <w:szCs w:val="24"/>
        </w:rPr>
      </w:pPr>
      <w:r>
        <w:rPr>
          <w:rFonts w:ascii="Times New Roman" w:hAnsi="Times New Roman" w:eastAsia="宋体" w:cs="Times New Roman"/>
          <w:sz w:val="24"/>
          <w:szCs w:val="24"/>
        </w:rPr>
        <w:t>适用对象：课题组成员单位、算法研发单位、终端研发单位、终端厂家 AI 训练平台建设单位、现场试点单位</w:t>
      </w:r>
    </w:p>
    <w:p w14:paraId="12B21175">
      <w:pPr>
        <w:pStyle w:val="3"/>
        <w:rPr>
          <w:rFonts w:ascii="Times New Roman" w:hAnsi="Times New Roman" w:eastAsia="宋体" w:cs="Times New Roman"/>
          <w:sz w:val="24"/>
          <w:szCs w:val="24"/>
        </w:rPr>
      </w:pPr>
      <w:r>
        <w:rPr>
          <w:rFonts w:ascii="Times New Roman" w:hAnsi="Times New Roman" w:eastAsia="宋体" w:cs="Times New Roman"/>
          <w:sz w:val="24"/>
          <w:szCs w:val="24"/>
        </w:rPr>
        <w:t>编制目的：收敛“电能质量与 AI 大模型结合”的研究方向，明确需求边界、数据处理方式、模型训练分工和实施路径，为后续子项课题分工、样机研发、试点验证和成果验收提供统一依据。</w:t>
      </w:r>
    </w:p>
    <w:p w14:paraId="653930DC">
      <w:pPr>
        <w:pStyle w:val="2"/>
        <w:widowControl/>
        <w:numPr>
          <w:ilvl w:val="0"/>
          <w:numId w:val="1"/>
        </w:numPr>
        <w:ind w:left="0" w:leftChars="0" w:firstLine="0" w:firstLineChars="0"/>
        <w:rPr>
          <w:b w:val="0"/>
          <w:bdr w:val="none" w:sz="0" w:space="0"/>
        </w:rPr>
      </w:pPr>
      <w:bookmarkStart w:id="1" w:name="ux80ccux666fux4e0eux76eeux6807"/>
      <w:r>
        <w:t>背景与目标</w:t>
      </w:r>
    </w:p>
    <w:p w14:paraId="0E951AC4">
      <w:pPr>
        <w:pStyle w:val="4"/>
        <w:widowControl/>
        <w:numPr>
          <w:ilvl w:val="0"/>
          <w:numId w:val="2"/>
        </w:numPr>
        <w:ind w:left="0" w:leftChars="0" w:firstLine="0" w:firstLineChars="0"/>
        <w:rPr>
          <w:b w:val="0"/>
          <w:bdr w:val="none" w:sz="0" w:space="0"/>
        </w:rPr>
      </w:pPr>
      <w:bookmarkStart w:id="2" w:name="ux80ccux666f"/>
      <w:r>
        <w:t>背景</w:t>
      </w:r>
    </w:p>
    <w:p w14:paraId="29E36D25">
      <w:pPr>
        <w:pStyle w:val="3"/>
        <w:rPr>
          <w:rFonts w:ascii="Times New Roman" w:hAnsi="Times New Roman" w:eastAsia="宋体" w:cs="Times New Roman"/>
          <w:sz w:val="24"/>
          <w:szCs w:val="24"/>
        </w:rPr>
      </w:pPr>
      <w:r>
        <w:rPr>
          <w:rFonts w:ascii="Times New Roman" w:hAnsi="Times New Roman" w:eastAsia="宋体" w:cs="Times New Roman"/>
          <w:sz w:val="24"/>
          <w:szCs w:val="24"/>
        </w:rPr>
        <w:t>本课题研究对象不再局限于智能融合终端，而是扩展为智能融合终端和专变/ECU 终端协同的电能质量 AI 应用体系。其中，专变终端和 ECU 可理解为同一类专变侧终端的两种外观形式，不作为两类独立终端分别建设需求。不同终端面向的应用场景、采样能力、部署位置和业务对象存在差异，但均具备利用高频电压、电流波形开展电能质量智能分析的基础。</w:t>
      </w:r>
    </w:p>
    <w:p w14:paraId="13659710">
      <w:pPr>
        <w:pStyle w:val="3"/>
        <w:rPr>
          <w:rFonts w:ascii="Times New Roman" w:hAnsi="Times New Roman" w:eastAsia="宋体" w:cs="Times New Roman"/>
          <w:sz w:val="24"/>
          <w:szCs w:val="24"/>
        </w:rPr>
      </w:pPr>
      <w:r>
        <w:rPr>
          <w:rFonts w:ascii="Times New Roman" w:hAnsi="Times New Roman" w:eastAsia="宋体" w:cs="Times New Roman"/>
          <w:sz w:val="24"/>
          <w:szCs w:val="24"/>
        </w:rPr>
        <w:t>当前已明确的波形采样能力如下：</w:t>
      </w:r>
    </w:p>
    <w:tbl>
      <w:tblPr>
        <w:tblStyle w:val="2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2374"/>
        <w:gridCol w:w="1805"/>
        <w:gridCol w:w="3441"/>
      </w:tblGrid>
      <w:tr w14:paraId="7C3D4F88">
        <w:trPr>
          <w:trHeight w:val="0" w:hRule="atLeast"/>
          <w:tblHeader/>
          <w:jc w:val="center"/>
        </w:trPr>
        <w:tc>
          <w:tcPr>
            <w:tcW w:w="0" w:type="auto"/>
            <w:vAlign w:val="center"/>
          </w:tcPr>
          <w:p w14:paraId="4AF90DC9">
            <w:pPr>
              <w:pStyle w:val="24"/>
              <w:snapToGrid w:val="0"/>
              <w:spacing w:line="240" w:lineRule="auto"/>
              <w:ind w:left="0" w:leftChars="0" w:right="0" w:rightChars="0" w:firstLine="0" w:firstLineChars="0"/>
              <w:jc w:val="center"/>
              <w:rPr>
                <w:b/>
              </w:rPr>
            </w:pPr>
            <w:r>
              <w:rPr>
                <w:rFonts w:hint="eastAsia"/>
                <w:b/>
              </w:rPr>
              <w:t>终端类型</w:t>
            </w:r>
          </w:p>
        </w:tc>
        <w:tc>
          <w:tcPr>
            <w:tcW w:w="0" w:type="auto"/>
            <w:vAlign w:val="center"/>
          </w:tcPr>
          <w:p w14:paraId="2A7EEA56">
            <w:pPr>
              <w:pStyle w:val="24"/>
              <w:snapToGrid w:val="0"/>
              <w:spacing w:line="240" w:lineRule="auto"/>
              <w:ind w:left="0" w:leftChars="0" w:right="0" w:rightChars="0" w:firstLine="0" w:firstLineChars="0"/>
              <w:jc w:val="center"/>
              <w:rPr>
                <w:b/>
              </w:rPr>
            </w:pPr>
            <w:r>
              <w:rPr>
                <w:rFonts w:hint="eastAsia"/>
                <w:b/>
              </w:rPr>
              <w:t>典型部署对象</w:t>
            </w:r>
          </w:p>
        </w:tc>
        <w:tc>
          <w:tcPr>
            <w:tcW w:w="1805" w:type="dxa"/>
            <w:vAlign w:val="center"/>
          </w:tcPr>
          <w:p w14:paraId="63524A69">
            <w:pPr>
              <w:pStyle w:val="24"/>
              <w:snapToGrid w:val="0"/>
              <w:spacing w:line="240" w:lineRule="auto"/>
              <w:ind w:left="0" w:leftChars="0" w:right="0" w:rightChars="0" w:firstLine="0" w:firstLineChars="0"/>
              <w:jc w:val="center"/>
              <w:rPr>
                <w:b/>
              </w:rPr>
            </w:pPr>
            <w:r>
              <w:rPr>
                <w:rFonts w:hint="eastAsia"/>
                <w:b/>
              </w:rPr>
              <w:t>波形采样能力</w:t>
            </w:r>
          </w:p>
        </w:tc>
        <w:tc>
          <w:tcPr>
            <w:tcW w:w="3441" w:type="dxa"/>
            <w:vAlign w:val="center"/>
          </w:tcPr>
          <w:p w14:paraId="200E43ED">
            <w:pPr>
              <w:pStyle w:val="24"/>
              <w:snapToGrid w:val="0"/>
              <w:spacing w:line="240" w:lineRule="auto"/>
              <w:ind w:left="0" w:leftChars="0" w:right="0" w:rightChars="0" w:firstLine="0" w:firstLineChars="0"/>
              <w:jc w:val="center"/>
              <w:rPr>
                <w:b/>
              </w:rPr>
            </w:pPr>
            <w:r>
              <w:rPr>
                <w:rFonts w:hint="eastAsia"/>
                <w:b/>
              </w:rPr>
              <w:t>主要业务侧重点</w:t>
            </w:r>
          </w:p>
        </w:tc>
      </w:tr>
      <w:tr w14:paraId="1D05500E">
        <w:trPr>
          <w:trHeight w:val="0" w:hRule="atLeast"/>
          <w:jc w:val="center"/>
        </w:trPr>
        <w:tc>
          <w:tcPr>
            <w:tcW w:w="0" w:type="auto"/>
            <w:vAlign w:val="center"/>
          </w:tcPr>
          <w:p w14:paraId="0EACE694">
            <w:pPr>
              <w:pStyle w:val="24"/>
              <w:snapToGrid w:val="0"/>
              <w:spacing w:line="240" w:lineRule="auto"/>
              <w:ind w:left="0" w:leftChars="0" w:right="0" w:rightChars="0" w:firstLine="0" w:firstLineChars="0"/>
              <w:jc w:val="center"/>
            </w:pPr>
            <w:r>
              <w:rPr>
                <w:rFonts w:hint="eastAsia"/>
              </w:rPr>
              <w:t>智能融合终端</w:t>
            </w:r>
          </w:p>
        </w:tc>
        <w:tc>
          <w:tcPr>
            <w:tcW w:w="0" w:type="auto"/>
            <w:vAlign w:val="center"/>
          </w:tcPr>
          <w:p w14:paraId="13310795">
            <w:pPr>
              <w:pStyle w:val="24"/>
              <w:snapToGrid w:val="0"/>
              <w:spacing w:line="240" w:lineRule="auto"/>
              <w:ind w:left="0" w:leftChars="0" w:right="0" w:rightChars="0" w:firstLine="0" w:firstLineChars="0"/>
              <w:jc w:val="center"/>
            </w:pPr>
            <w:r>
              <w:rPr>
                <w:rFonts w:hint="eastAsia"/>
              </w:rPr>
              <w:t>低压台区、配变侧、台区总表侧</w:t>
            </w:r>
          </w:p>
        </w:tc>
        <w:tc>
          <w:tcPr>
            <w:tcW w:w="1805" w:type="dxa"/>
            <w:vAlign w:val="center"/>
          </w:tcPr>
          <w:p w14:paraId="16707033">
            <w:pPr>
              <w:pStyle w:val="24"/>
              <w:snapToGrid w:val="0"/>
              <w:spacing w:line="240" w:lineRule="auto"/>
              <w:ind w:left="0" w:leftChars="0" w:right="0" w:rightChars="0" w:firstLine="0" w:firstLineChars="0"/>
              <w:jc w:val="center"/>
            </w:pPr>
            <w:r>
              <w:rPr>
                <w:rFonts w:hint="eastAsia"/>
              </w:rPr>
              <w:t>每周波</w:t>
            </w:r>
            <w:r>
              <w:t xml:space="preserve"> 256 </w:t>
            </w:r>
            <w:r>
              <w:rPr>
                <w:rFonts w:hint="eastAsia"/>
              </w:rPr>
              <w:t>点</w:t>
            </w:r>
          </w:p>
        </w:tc>
        <w:tc>
          <w:tcPr>
            <w:tcW w:w="3441" w:type="dxa"/>
            <w:vAlign w:val="center"/>
          </w:tcPr>
          <w:p w14:paraId="5695623E">
            <w:pPr>
              <w:pStyle w:val="24"/>
              <w:snapToGrid w:val="0"/>
              <w:spacing w:line="240" w:lineRule="auto"/>
              <w:ind w:left="0" w:leftChars="0" w:right="0" w:rightChars="0" w:firstLine="0" w:firstLineChars="0"/>
              <w:jc w:val="left"/>
            </w:pPr>
            <w:r>
              <w:rPr>
                <w:rFonts w:hint="eastAsia"/>
              </w:rPr>
              <w:t>台区电能质量监测、台区画像、低压用户扰动分析、新能源接入影响评估</w:t>
            </w:r>
          </w:p>
        </w:tc>
      </w:tr>
      <w:tr w14:paraId="30F2C69D">
        <w:trPr>
          <w:trHeight w:val="0" w:hRule="atLeast"/>
          <w:jc w:val="center"/>
        </w:trPr>
        <w:tc>
          <w:tcPr>
            <w:tcW w:w="1236" w:type="dxa"/>
            <w:vAlign w:val="center"/>
          </w:tcPr>
          <w:p w14:paraId="76A87663">
            <w:pPr>
              <w:pStyle w:val="24"/>
              <w:snapToGrid w:val="0"/>
              <w:spacing w:line="240" w:lineRule="auto"/>
              <w:ind w:left="0" w:leftChars="0" w:right="0" w:rightChars="0" w:firstLine="0" w:firstLineChars="0"/>
              <w:jc w:val="center"/>
            </w:pPr>
            <w:r>
              <w:rPr>
                <w:rFonts w:hint="eastAsia"/>
              </w:rPr>
              <w:t>专变/ECU</w:t>
            </w:r>
            <w:r>
              <w:t xml:space="preserve"> </w:t>
            </w:r>
            <w:r>
              <w:rPr>
                <w:rFonts w:hint="eastAsia"/>
              </w:rPr>
              <w:t>终端</w:t>
            </w:r>
          </w:p>
        </w:tc>
        <w:tc>
          <w:tcPr>
            <w:tcW w:w="2374" w:type="dxa"/>
            <w:vAlign w:val="center"/>
          </w:tcPr>
          <w:p w14:paraId="0EC8ED50">
            <w:pPr>
              <w:pStyle w:val="24"/>
              <w:snapToGrid w:val="0"/>
              <w:spacing w:line="240" w:lineRule="auto"/>
              <w:ind w:left="0" w:leftChars="0" w:right="0" w:rightChars="0" w:firstLine="0" w:firstLineChars="0"/>
              <w:jc w:val="center"/>
            </w:pPr>
            <w:r>
              <w:rPr>
                <w:rFonts w:hint="eastAsia"/>
              </w:rPr>
              <w:t>专变用户、重要用户、工业商业负荷侧</w:t>
            </w:r>
          </w:p>
        </w:tc>
        <w:tc>
          <w:tcPr>
            <w:tcW w:w="1805" w:type="dxa"/>
            <w:vAlign w:val="center"/>
          </w:tcPr>
          <w:p w14:paraId="2612F634">
            <w:pPr>
              <w:pStyle w:val="24"/>
              <w:snapToGrid w:val="0"/>
              <w:spacing w:line="240" w:lineRule="auto"/>
              <w:ind w:left="0" w:leftChars="0" w:right="0" w:rightChars="0" w:firstLine="0" w:firstLineChars="0"/>
              <w:jc w:val="center"/>
            </w:pPr>
            <w:r>
              <w:rPr>
                <w:rFonts w:hint="eastAsia"/>
              </w:rPr>
              <w:t>每周波</w:t>
            </w:r>
            <w:r>
              <w:t xml:space="preserve"> 512 </w:t>
            </w:r>
            <w:r>
              <w:rPr>
                <w:rFonts w:hint="eastAsia"/>
              </w:rPr>
              <w:t>点</w:t>
            </w:r>
          </w:p>
        </w:tc>
        <w:tc>
          <w:tcPr>
            <w:tcW w:w="3441" w:type="dxa"/>
            <w:vAlign w:val="center"/>
          </w:tcPr>
          <w:p w14:paraId="18B66849">
            <w:pPr>
              <w:pStyle w:val="24"/>
              <w:snapToGrid w:val="0"/>
              <w:spacing w:line="240" w:lineRule="auto"/>
              <w:ind w:left="0" w:leftChars="0" w:right="0" w:rightChars="0" w:firstLine="0" w:firstLineChars="0"/>
              <w:jc w:val="left"/>
            </w:pPr>
            <w:r>
              <w:rPr>
                <w:rFonts w:hint="eastAsia"/>
              </w:rPr>
              <w:t>专变用户电能质量监测、冲击负荷识别、谐波源分析、用户侧责任辅助判定</w:t>
            </w:r>
          </w:p>
        </w:tc>
      </w:tr>
    </w:tbl>
    <w:p w14:paraId="7AC56A1D">
      <w:pPr>
        <w:pStyle w:val="3"/>
        <w:rPr>
          <w:rFonts w:ascii="Times New Roman" w:hAnsi="Times New Roman" w:eastAsia="宋体" w:cs="Times New Roman"/>
          <w:sz w:val="24"/>
          <w:szCs w:val="24"/>
        </w:rPr>
      </w:pPr>
      <w:r>
        <w:rPr>
          <w:rFonts w:ascii="Times New Roman" w:hAnsi="Times New Roman" w:eastAsia="宋体" w:cs="Times New Roman"/>
          <w:sz w:val="24"/>
          <w:szCs w:val="24"/>
        </w:rPr>
        <w:t>因此，本课题需要建立“多终端、多采样率、多场景”的统一数据和模型体系。一方面保持各类终端的差异化优势，另一方面在训练平台侧形成统一的事件库、样本库、标签库和模型训练闭环。</w:t>
      </w:r>
    </w:p>
    <w:p w14:paraId="47380577">
      <w:pPr>
        <w:pStyle w:val="3"/>
        <w:rPr>
          <w:rFonts w:ascii="Times New Roman" w:hAnsi="Times New Roman" w:eastAsia="宋体" w:cs="Times New Roman"/>
          <w:sz w:val="24"/>
          <w:szCs w:val="24"/>
        </w:rPr>
      </w:pPr>
      <w:r>
        <w:rPr>
          <w:rFonts w:ascii="Times New Roman" w:hAnsi="Times New Roman" w:eastAsia="宋体" w:cs="Times New Roman"/>
          <w:sz w:val="24"/>
          <w:szCs w:val="24"/>
        </w:rPr>
        <w:t>现有电能质量功能主要围绕标准指标计算和合格性判断，包括：</w:t>
      </w:r>
    </w:p>
    <w:p w14:paraId="7F17731C">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电压合格率</w:t>
      </w:r>
    </w:p>
    <w:p w14:paraId="2A83B38C">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电压偏差</w:t>
      </w:r>
    </w:p>
    <w:p w14:paraId="5DF2099A">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电压波动</w:t>
      </w:r>
    </w:p>
    <w:p w14:paraId="1378D04E">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电压不平衡</w:t>
      </w:r>
    </w:p>
    <w:p w14:paraId="0575D71D">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电压谐波含有率</w:t>
      </w:r>
    </w:p>
    <w:p w14:paraId="507539B7">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电压谐波总畸变率</w:t>
      </w:r>
    </w:p>
    <w:p w14:paraId="64B84535">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短时闪变</w:t>
      </w:r>
    </w:p>
    <w:p w14:paraId="50F1C279">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长时闪变</w:t>
      </w:r>
    </w:p>
    <w:p w14:paraId="00F41EEC">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频率偏差</w:t>
      </w:r>
    </w:p>
    <w:p w14:paraId="1D48FD0D">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电压暂升</w:t>
      </w:r>
    </w:p>
    <w:p w14:paraId="29793C9B">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电压暂降</w:t>
      </w:r>
    </w:p>
    <w:p w14:paraId="3CC90818">
      <w:pPr>
        <w:pStyle w:val="3"/>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电压短时中断</w:t>
      </w:r>
    </w:p>
    <w:p w14:paraId="1F425BE7">
      <w:pPr>
        <w:pStyle w:val="3"/>
        <w:rPr>
          <w:rFonts w:ascii="Times New Roman" w:hAnsi="Times New Roman" w:eastAsia="宋体" w:cs="Times New Roman"/>
          <w:sz w:val="24"/>
          <w:szCs w:val="24"/>
        </w:rPr>
      </w:pPr>
      <w:r>
        <w:rPr>
          <w:rFonts w:ascii="Times New Roman" w:hAnsi="Times New Roman" w:eastAsia="宋体" w:cs="Times New Roman"/>
          <w:sz w:val="24"/>
          <w:szCs w:val="24"/>
        </w:rPr>
        <w:t>上述功能回答的是“是否发生问题”和“指标是否越限”。本课题进一步研究如何利用 AI、机器学习和大模型能力，在标准电能质量计算基础上，形成“事件识别、原因分析、风险预测、治理建议、报告生成、运维交互”等新型业务能力。</w:t>
      </w:r>
    </w:p>
    <w:bookmarkEnd w:id="2"/>
    <w:p w14:paraId="1797EBE9">
      <w:pPr>
        <w:pStyle w:val="4"/>
        <w:widowControl/>
        <w:numPr>
          <w:ilvl w:val="0"/>
          <w:numId w:val="2"/>
        </w:numPr>
        <w:ind w:left="0" w:leftChars="0" w:firstLine="0" w:firstLineChars="0"/>
        <w:rPr>
          <w:b w:val="0"/>
          <w:bdr w:val="none" w:sz="0" w:space="0"/>
        </w:rPr>
      </w:pPr>
      <w:bookmarkStart w:id="3" w:name="ux603bux4f53ux76eeux6807"/>
      <w:r>
        <w:t>总体目标</w:t>
      </w:r>
    </w:p>
    <w:p w14:paraId="0129A983">
      <w:pPr>
        <w:pStyle w:val="3"/>
        <w:rPr>
          <w:rFonts w:ascii="Times New Roman" w:hAnsi="Times New Roman" w:eastAsia="宋体" w:cs="Times New Roman"/>
          <w:sz w:val="24"/>
          <w:szCs w:val="24"/>
        </w:rPr>
      </w:pPr>
      <w:r>
        <w:rPr>
          <w:rFonts w:ascii="Times New Roman" w:hAnsi="Times New Roman" w:eastAsia="宋体" w:cs="Times New Roman"/>
          <w:sz w:val="24"/>
          <w:szCs w:val="24"/>
        </w:rPr>
        <w:t>本课题目标不是用 AI 替代标准电能质量算法，而是在标准算法之上构建智能分析层，实现以下能力：</w:t>
      </w:r>
    </w:p>
    <w:p w14:paraId="73D7414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从“指标检测”升级为“事件诊断”；</w:t>
      </w:r>
    </w:p>
    <w:p w14:paraId="47A377B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从“单点越限告警”升级为“台区健康画像”；</w:t>
      </w:r>
    </w:p>
    <w:p w14:paraId="4EC9595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从“数据上传”升级为“边缘筛选、智能压缩和事件摘要”；</w:t>
      </w:r>
    </w:p>
    <w:p w14:paraId="656CB64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从“被动统计”升级为“风险预测和治理建议”；</w:t>
      </w:r>
    </w:p>
    <w:p w14:paraId="01A2419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从“人工分析报告”升级为“大模型辅助报告生成”；</w:t>
      </w:r>
    </w:p>
    <w:p w14:paraId="78B9C11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从“终端单体能力”升级为“多类型终端、终端厂家训练平台、模型服务协同能力”；</w:t>
      </w:r>
    </w:p>
    <w:p w14:paraId="484DC2A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从“单一采样规格分析”升级为“256 点/周波与 512 点/周波兼容分析”；</w:t>
      </w:r>
    </w:p>
    <w:p w14:paraId="6FB8909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从“低压台区场景”扩展为“台区侧、专变用户侧多场景电能质量智能分析”。</w:t>
      </w:r>
    </w:p>
    <w:bookmarkEnd w:id="3"/>
    <w:p w14:paraId="48A71206">
      <w:pPr>
        <w:pStyle w:val="4"/>
        <w:widowControl/>
        <w:numPr>
          <w:ilvl w:val="0"/>
          <w:numId w:val="2"/>
        </w:numPr>
        <w:ind w:left="0" w:leftChars="0" w:firstLine="0" w:firstLineChars="0"/>
        <w:rPr>
          <w:b w:val="0"/>
          <w:bdr w:val="none" w:sz="0" w:space="0"/>
        </w:rPr>
      </w:pPr>
      <w:bookmarkStart w:id="4" w:name="ux5efaux8bbeux539fux5219"/>
      <w:r>
        <w:t>建设原则</w:t>
      </w:r>
    </w:p>
    <w:p w14:paraId="0DAEB186">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标准算法可追溯：电压偏差、谐波、闪变、暂升暂降等基础指标仍按标准算法计算，保证结果可复核。</w:t>
      </w:r>
    </w:p>
    <w:p w14:paraId="6AC1D5FF">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AI 负责增强分析：AI 重点用于分类、聚类、预测、归因、检索、总结和交互，不直接替代计量判据。</w:t>
      </w:r>
    </w:p>
    <w:p w14:paraId="344EC8DB">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多终端统一建模：智能融合终端和专变/ECU 终端的数据格式、时间戳、通道定义、采样率描述和事件标签应统一规范。</w:t>
      </w:r>
    </w:p>
    <w:p w14:paraId="04951B51">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采样差异可兼容：模型训练和特征提取应同时支持 256 点/周波与 512 点/周波数据，必要时通过重采样、特征归一化或分模型方式处理差异。</w:t>
      </w:r>
    </w:p>
    <w:p w14:paraId="065768AD">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端侧轻量、训练平台迭代：终端侧部署轻量推理和事件筛选能力，模型训练、样本管理和大模型应用部署在终端厂家自有训练平台或配套训练环境。</w:t>
      </w:r>
    </w:p>
    <w:p w14:paraId="2DF5A912">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先场景闭环，后模型泛化：优先选择有明确业务闭环的场景试点，避免只做算法演示。</w:t>
      </w:r>
    </w:p>
    <w:p w14:paraId="52AE5188">
      <w:pPr>
        <w:pStyle w:val="3"/>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分阶段实施：先完成数据治理和事件库建设，再进行模型训练，最后形成业务应用和试点验证。</w:t>
      </w:r>
    </w:p>
    <w:bookmarkEnd w:id="1"/>
    <w:bookmarkEnd w:id="4"/>
    <w:p w14:paraId="6E4F9179">
      <w:pPr>
        <w:pStyle w:val="2"/>
        <w:widowControl/>
        <w:numPr>
          <w:ilvl w:val="0"/>
          <w:numId w:val="1"/>
        </w:numPr>
        <w:ind w:left="0" w:leftChars="0" w:firstLine="0" w:firstLineChars="0"/>
        <w:rPr>
          <w:b w:val="0"/>
          <w:bdr w:val="none" w:sz="0" w:space="0"/>
        </w:rPr>
      </w:pPr>
      <w:bookmarkStart w:id="5" w:name="X01d4e96399d78695ac73ec4fcf9947512227d39"/>
      <w:r>
        <w:t>总体业务需求与研究方向</w:t>
      </w:r>
    </w:p>
    <w:p w14:paraId="7A0E2A68">
      <w:pPr>
        <w:pStyle w:val="4"/>
        <w:widowControl/>
        <w:numPr>
          <w:ilvl w:val="0"/>
          <w:numId w:val="6"/>
        </w:numPr>
        <w:ind w:left="0" w:leftChars="0" w:firstLine="0" w:firstLineChars="0"/>
        <w:rPr>
          <w:b w:val="0"/>
          <w:bdr w:val="none" w:sz="0" w:space="0"/>
        </w:rPr>
      </w:pPr>
      <w:bookmarkStart w:id="6" w:name="X6941643d7d2ffb9f6cdf34867e2099ee850e0b4"/>
      <w:r>
        <w:t>方向一：电能质量事件智能诊断</w:t>
      </w:r>
    </w:p>
    <w:p w14:paraId="71A580E5">
      <w:pPr>
        <w:pStyle w:val="5"/>
        <w:widowControl/>
      </w:pPr>
      <w:bookmarkStart w:id="7" w:name="ux9700ux6c42ux8bf4ux660e"/>
      <w:r>
        <w:t>需求说明</w:t>
      </w:r>
    </w:p>
    <w:p w14:paraId="0B6E058C">
      <w:pPr>
        <w:pStyle w:val="3"/>
        <w:rPr>
          <w:rFonts w:ascii="Times New Roman" w:hAnsi="Times New Roman" w:eastAsia="宋体" w:cs="Times New Roman"/>
          <w:sz w:val="24"/>
          <w:szCs w:val="24"/>
        </w:rPr>
      </w:pPr>
      <w:r>
        <w:rPr>
          <w:rFonts w:ascii="Times New Roman" w:hAnsi="Times New Roman" w:eastAsia="宋体" w:cs="Times New Roman"/>
          <w:sz w:val="24"/>
          <w:szCs w:val="24"/>
        </w:rPr>
        <w:t>在现有电能质量事件检测基础上，增加事件类型识别、事件特征提取和疑似原因分析能力。终端或训练平台不仅输出“发生暂降、暂升、谐波越限”等结果，还应输出事件特征、可能成因和影响程度。</w:t>
      </w:r>
    </w:p>
    <w:bookmarkEnd w:id="7"/>
    <w:p w14:paraId="6A973F3B">
      <w:pPr>
        <w:pStyle w:val="5"/>
        <w:widowControl/>
      </w:pPr>
      <w:bookmarkStart w:id="8" w:name="ux5178ux578bux4e8bux4ef6"/>
      <w:r>
        <w:t>典型事件</w:t>
      </w:r>
    </w:p>
    <w:p w14:paraId="2F09D21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电压暂降</w:t>
      </w:r>
    </w:p>
    <w:p w14:paraId="7D43A37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电压暂升</w:t>
      </w:r>
    </w:p>
    <w:p w14:paraId="47B9E10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短时中断</w:t>
      </w:r>
    </w:p>
    <w:p w14:paraId="74B8A52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电压波动</w:t>
      </w:r>
    </w:p>
    <w:p w14:paraId="32321C9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三相不平衡</w:t>
      </w:r>
    </w:p>
    <w:p w14:paraId="737B780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谐波异常</w:t>
      </w:r>
    </w:p>
    <w:p w14:paraId="399D978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频率偏差</w:t>
      </w:r>
    </w:p>
    <w:p w14:paraId="2861530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冲击负荷引起的电压扰动</w:t>
      </w:r>
    </w:p>
    <w:p w14:paraId="1EB157F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光伏逆变器并离网扰动</w:t>
      </w:r>
    </w:p>
    <w:p w14:paraId="46FC112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充电桩集中接入导致的低电压或波动</w:t>
      </w:r>
    </w:p>
    <w:p w14:paraId="2EC84FE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大功率电机启动导致的短时电压跌落</w:t>
      </w:r>
    </w:p>
    <w:p w14:paraId="2747279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接触不良、零线异常导致的三相电压异常</w:t>
      </w:r>
    </w:p>
    <w:bookmarkEnd w:id="8"/>
    <w:p w14:paraId="2F01E4AA">
      <w:pPr>
        <w:pStyle w:val="3"/>
        <w:widowControl/>
        <w:rPr>
          <w:rFonts w:ascii="Times New Roman" w:hAnsi="Times New Roman" w:eastAsia="宋体" w:cs="Times New Roman"/>
          <w:sz w:val="24"/>
          <w:szCs w:val="24"/>
        </w:rPr>
      </w:pPr>
      <w:bookmarkStart w:id="9" w:name="ai-ux589eux5f3aux80fdux529b"/>
      <w:r>
        <w:rPr>
          <w:rFonts w:ascii="Times New Roman" w:hAnsi="Times New Roman" w:eastAsia="宋体" w:cs="Times New Roman"/>
          <w:sz w:val="24"/>
          <w:szCs w:val="24"/>
        </w:rPr>
        <w:t>AI 增强能力</w:t>
      </w:r>
    </w:p>
    <w:p w14:paraId="52C66EE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对事件进行自动分类；</w:t>
      </w:r>
    </w:p>
    <w:p w14:paraId="2A26987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识别事件开始、结束、持续时间、幅值变化和相别；</w:t>
      </w:r>
    </w:p>
    <w:p w14:paraId="3820835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关联电压、电流、谐波、功率等多维特征；</w:t>
      </w:r>
    </w:p>
    <w:p w14:paraId="5757994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判断事件更可能来自用户侧、台区侧或上级电网侧；</w:t>
      </w:r>
    </w:p>
    <w:p w14:paraId="25E7960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对重复事件进行聚类，识别周期性问题；</w:t>
      </w:r>
    </w:p>
    <w:p w14:paraId="4A27069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形成事件摘要和初步治理建议。</w:t>
      </w:r>
    </w:p>
    <w:bookmarkEnd w:id="9"/>
    <w:p w14:paraId="78945435">
      <w:pPr>
        <w:pStyle w:val="3"/>
        <w:widowControl/>
        <w:rPr>
          <w:rFonts w:ascii="Times New Roman" w:hAnsi="Times New Roman" w:eastAsia="宋体" w:cs="Times New Roman"/>
          <w:sz w:val="24"/>
          <w:szCs w:val="24"/>
        </w:rPr>
      </w:pPr>
      <w:bookmarkStart w:id="10" w:name="ux8f93ux51faux7ed3ux679cux793aux4f8b"/>
      <w:r>
        <w:rPr>
          <w:rFonts w:ascii="Times New Roman" w:hAnsi="Times New Roman" w:eastAsia="宋体" w:cs="Times New Roman"/>
          <w:sz w:val="24"/>
          <w:szCs w:val="24"/>
        </w:rPr>
        <w:t>输出结果示例</w:t>
      </w:r>
    </w:p>
    <w:bookmarkEnd w:id="6"/>
    <w:bookmarkEnd w:id="10"/>
    <w:p w14:paraId="1A82F15D">
      <w:pPr>
        <w:pStyle w:val="4"/>
        <w:widowControl/>
        <w:numPr>
          <w:ilvl w:val="0"/>
          <w:numId w:val="6"/>
        </w:numPr>
        <w:ind w:left="0" w:leftChars="0" w:firstLine="0" w:firstLineChars="0"/>
        <w:rPr>
          <w:b w:val="0"/>
          <w:bdr w:val="none" w:sz="0" w:space="0"/>
        </w:rPr>
      </w:pPr>
      <w:bookmarkStart w:id="11" w:name="X8942b702bf277ba3db6a1abc8e321d25c69600b"/>
      <w:r>
        <w:t>方向二：台区与专变用户电能质量健康画像</w:t>
      </w:r>
    </w:p>
    <w:p w14:paraId="01585D53">
      <w:pPr>
        <w:pStyle w:val="3"/>
        <w:widowControl/>
        <w:rPr>
          <w:rFonts w:ascii="Times New Roman" w:hAnsi="Times New Roman" w:eastAsia="宋体" w:cs="Times New Roman"/>
          <w:sz w:val="24"/>
          <w:szCs w:val="24"/>
        </w:rPr>
      </w:pPr>
      <w:bookmarkStart w:id="12" w:name="ux9700ux6c42ux8bf4ux660e-1"/>
      <w:r>
        <w:rPr>
          <w:rFonts w:ascii="Times New Roman" w:hAnsi="Times New Roman" w:eastAsia="宋体" w:cs="Times New Roman"/>
          <w:sz w:val="24"/>
          <w:szCs w:val="24"/>
        </w:rPr>
        <w:t>需求说明</w:t>
      </w:r>
    </w:p>
    <w:p w14:paraId="5593B2FC">
      <w:pPr>
        <w:pStyle w:val="3"/>
        <w:rPr>
          <w:rFonts w:ascii="Times New Roman" w:hAnsi="Times New Roman" w:eastAsia="宋体" w:cs="Times New Roman"/>
          <w:sz w:val="24"/>
          <w:szCs w:val="24"/>
        </w:rPr>
      </w:pPr>
      <w:r>
        <w:rPr>
          <w:rFonts w:ascii="Times New Roman" w:hAnsi="Times New Roman" w:eastAsia="宋体" w:cs="Times New Roman"/>
          <w:sz w:val="24"/>
          <w:szCs w:val="24"/>
        </w:rPr>
        <w:t>基于智能融合终端和专变/ECU 终端长期采集的波形、指标和事件数据，构建台区与专变用户电能质量健康画像，对不同对象的运行状态进行分级评价，并形成趋势分析和治理优先级建议。</w:t>
      </w:r>
    </w:p>
    <w:bookmarkEnd w:id="12"/>
    <w:p w14:paraId="3F0C9837">
      <w:pPr>
        <w:pStyle w:val="3"/>
        <w:widowControl/>
        <w:rPr>
          <w:rFonts w:ascii="Times New Roman" w:hAnsi="Times New Roman" w:eastAsia="宋体" w:cs="Times New Roman"/>
          <w:sz w:val="24"/>
          <w:szCs w:val="24"/>
        </w:rPr>
      </w:pPr>
      <w:bookmarkStart w:id="13" w:name="ux753bux50cfux7ef4ux5ea6"/>
      <w:r>
        <w:rPr>
          <w:rFonts w:ascii="Times New Roman" w:hAnsi="Times New Roman" w:eastAsia="宋体" w:cs="Times New Roman"/>
          <w:sz w:val="24"/>
          <w:szCs w:val="24"/>
        </w:rPr>
        <w:t>画像维度</w:t>
      </w:r>
    </w:p>
    <w:p w14:paraId="4837ADA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电压合格率趋势；</w:t>
      </w:r>
    </w:p>
    <w:p w14:paraId="72EA0AD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电压偏差分布；</w:t>
      </w:r>
    </w:p>
    <w:p w14:paraId="6808B31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三相不平衡程度；</w:t>
      </w:r>
    </w:p>
    <w:p w14:paraId="5AC478D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电压波动和闪变水平；</w:t>
      </w:r>
    </w:p>
    <w:p w14:paraId="07D5975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谐波含有率和总畸变率；</w:t>
      </w:r>
    </w:p>
    <w:p w14:paraId="015D5D7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暂升、暂降、短时中断事件频度；</w:t>
      </w:r>
    </w:p>
    <w:p w14:paraId="3E3195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低电压、高电压高发时段；</w:t>
      </w:r>
    </w:p>
    <w:p w14:paraId="2FEB951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相别负荷分布；</w:t>
      </w:r>
    </w:p>
    <w:p w14:paraId="3D6F971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新能源、充电桩、非线性负荷影响；</w:t>
      </w:r>
    </w:p>
    <w:p w14:paraId="008ED67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台区或专变用户风险等级和治理优先级。</w:t>
      </w:r>
    </w:p>
    <w:bookmarkEnd w:id="13"/>
    <w:p w14:paraId="07C3C826">
      <w:pPr>
        <w:pStyle w:val="3"/>
        <w:widowControl/>
        <w:rPr>
          <w:rFonts w:ascii="Times New Roman" w:hAnsi="Times New Roman" w:eastAsia="宋体" w:cs="Times New Roman"/>
          <w:sz w:val="24"/>
          <w:szCs w:val="24"/>
        </w:rPr>
      </w:pPr>
      <w:bookmarkStart w:id="14" w:name="ai-ux589eux5f3aux80fdux529b-1"/>
      <w:r>
        <w:rPr>
          <w:rFonts w:ascii="Times New Roman" w:hAnsi="Times New Roman" w:eastAsia="宋体" w:cs="Times New Roman"/>
          <w:sz w:val="24"/>
          <w:szCs w:val="24"/>
        </w:rPr>
        <w:t>AI 增强能力</w:t>
      </w:r>
    </w:p>
    <w:p w14:paraId="74B7F02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自动识别台区主要矛盾，例如“晚高峰低电压” “午间光伏反送导致高电压” “三相负荷长期不平衡”；</w:t>
      </w:r>
    </w:p>
    <w:p w14:paraId="2F6C28D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对多个台区或多个专变用户进行横向对比和排序；</w:t>
      </w:r>
    </w:p>
    <w:p w14:paraId="49F342A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识别异常趋势，例如谐波逐月升高、暂降事件频率增加；</w:t>
      </w:r>
    </w:p>
    <w:p w14:paraId="6F4E36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生成台区或专变用户健康评分；</w:t>
      </w:r>
    </w:p>
    <w:p w14:paraId="107C37B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自动生成周报、月报和专项分析报告。</w:t>
      </w:r>
    </w:p>
    <w:bookmarkEnd w:id="14"/>
    <w:p w14:paraId="0BB7C626">
      <w:pPr>
        <w:pStyle w:val="3"/>
        <w:widowControl/>
        <w:rPr>
          <w:rFonts w:ascii="Times New Roman" w:hAnsi="Times New Roman" w:eastAsia="宋体" w:cs="Times New Roman"/>
          <w:sz w:val="24"/>
          <w:szCs w:val="24"/>
        </w:rPr>
      </w:pPr>
      <w:bookmarkStart w:id="15" w:name="ux8f93ux51faux7ed3ux679c"/>
      <w:r>
        <w:rPr>
          <w:rFonts w:ascii="Times New Roman" w:hAnsi="Times New Roman" w:eastAsia="宋体" w:cs="Times New Roman"/>
          <w:sz w:val="24"/>
          <w:szCs w:val="24"/>
        </w:rPr>
        <w:t>输出结果</w:t>
      </w:r>
    </w:p>
    <w:p w14:paraId="4AA1B0A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台区或专变用户电能质量健康等级；</w:t>
      </w:r>
    </w:p>
    <w:p w14:paraId="43AA0A6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主要问题排序；</w:t>
      </w:r>
    </w:p>
    <w:p w14:paraId="503F8A0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风险变化趋势；</w:t>
      </w:r>
    </w:p>
    <w:p w14:paraId="3E169FB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重点治理时段；</w:t>
      </w:r>
    </w:p>
    <w:p w14:paraId="39D59A7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建议治理措施；</w:t>
      </w:r>
    </w:p>
    <w:p w14:paraId="7EC9FCF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自动报告。</w:t>
      </w:r>
    </w:p>
    <w:bookmarkEnd w:id="11"/>
    <w:bookmarkEnd w:id="15"/>
    <w:p w14:paraId="1FB4DC89">
      <w:pPr>
        <w:pStyle w:val="4"/>
        <w:widowControl/>
        <w:numPr>
          <w:ilvl w:val="0"/>
          <w:numId w:val="6"/>
        </w:numPr>
        <w:ind w:left="0" w:leftChars="0" w:firstLine="0" w:firstLineChars="0"/>
        <w:rPr>
          <w:b w:val="0"/>
          <w:bdr w:val="none" w:sz="0" w:space="0"/>
        </w:rPr>
      </w:pPr>
      <w:bookmarkStart w:id="16" w:name="X81ea6fa49c6ad98913b3649abf3b8032c496441"/>
      <w:r>
        <w:t>方向三：扰动源识别与责任辅助判定</w:t>
      </w:r>
    </w:p>
    <w:p w14:paraId="4865EF5E">
      <w:pPr>
        <w:pStyle w:val="5"/>
        <w:widowControl/>
      </w:pPr>
      <w:bookmarkStart w:id="17" w:name="ux9700ux6c42ux8bf4ux660e-2"/>
      <w:r>
        <w:t>需求说明</w:t>
      </w:r>
    </w:p>
    <w:p w14:paraId="2319C3CD">
      <w:pPr>
        <w:pStyle w:val="3"/>
        <w:rPr>
          <w:rFonts w:ascii="Times New Roman" w:hAnsi="Times New Roman" w:eastAsia="宋体" w:cs="Times New Roman"/>
          <w:sz w:val="24"/>
          <w:szCs w:val="24"/>
        </w:rPr>
      </w:pPr>
      <w:r>
        <w:rPr>
          <w:rFonts w:ascii="Times New Roman" w:hAnsi="Times New Roman" w:eastAsia="宋体" w:cs="Times New Roman"/>
          <w:sz w:val="24"/>
          <w:szCs w:val="24"/>
        </w:rPr>
        <w:t>利用电压、电流同步波形和事件前后变化特征，分析电能质量扰动更可能来自用户侧、低压台区侧、专变用户侧或上级电网侧，为运维排查和责任辅助判定提供依据。</w:t>
      </w:r>
    </w:p>
    <w:bookmarkEnd w:id="17"/>
    <w:p w14:paraId="5B46B634">
      <w:pPr>
        <w:pStyle w:val="5"/>
        <w:widowControl/>
      </w:pPr>
      <w:bookmarkStart w:id="18" w:name="ux6838ux5fc3ux5224ux65adux903bux8f91"/>
      <w:r>
        <w:t>核心判断逻辑</w:t>
      </w:r>
    </w:p>
    <w:p w14:paraId="193B18F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若电流突变先于电压异常，通常更可能是用户侧冲击负荷引起；</w:t>
      </w:r>
    </w:p>
    <w:p w14:paraId="61C6A78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若多相或多台区同时发生电压异常，且电流变化不明显，通常更可能来自上级电网；</w:t>
      </w:r>
    </w:p>
    <w:p w14:paraId="55C6C13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若某相长期电流偏大且电压偏低，可能与三相负荷分配不均有关；</w:t>
      </w:r>
    </w:p>
    <w:p w14:paraId="6D18623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若谐波电流显著增加并导致电压谐波升高，可能存在用户侧谐波源；</w:t>
      </w:r>
    </w:p>
    <w:p w14:paraId="561A383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若三相电压呈现此消彼长关系，需关注中性线或零线异常；</w:t>
      </w:r>
    </w:p>
    <w:p w14:paraId="7AEA3C5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若午间电压持续抬升且功率方向异常，需关注分布式光伏反送。</w:t>
      </w:r>
    </w:p>
    <w:p w14:paraId="7BA31F5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若专变/ECU 终端侧先出现设备启动、变频运行或冲击电流特征，而台区侧随后出现电压扰动，可辅助判断扰动由专变用户侧传导至台区。</w:t>
      </w:r>
    </w:p>
    <w:bookmarkEnd w:id="18"/>
    <w:p w14:paraId="7377A355">
      <w:pPr>
        <w:pStyle w:val="5"/>
        <w:widowControl/>
      </w:pPr>
      <w:bookmarkStart w:id="19" w:name="ai-ux589eux5f3aux80fdux529b-2"/>
      <w:r>
        <w:t>AI 增强能力</w:t>
      </w:r>
    </w:p>
    <w:p w14:paraId="17A9380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扰动源模式识别；</w:t>
      </w:r>
    </w:p>
    <w:p w14:paraId="611C2F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电压电流因果特征分析；</w:t>
      </w:r>
    </w:p>
    <w:p w14:paraId="2C37EB0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多事件关联；</w:t>
      </w:r>
    </w:p>
    <w:p w14:paraId="35CAAB8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相似历史案例检索；</w:t>
      </w:r>
    </w:p>
    <w:p w14:paraId="1D438B0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生成证据链说明；</w:t>
      </w:r>
    </w:p>
    <w:p w14:paraId="2594D40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输出疑似来源置信度。</w:t>
      </w:r>
    </w:p>
    <w:bookmarkEnd w:id="19"/>
    <w:p w14:paraId="1DB9CBA4">
      <w:pPr>
        <w:pStyle w:val="5"/>
        <w:widowControl/>
      </w:pPr>
      <w:bookmarkStart w:id="20" w:name="ux8f93ux51faux7ed3ux679c-1"/>
      <w:r>
        <w:t>输出结果</w:t>
      </w:r>
    </w:p>
    <w:bookmarkEnd w:id="16"/>
    <w:bookmarkEnd w:id="20"/>
    <w:p w14:paraId="7D90D14B">
      <w:pPr>
        <w:pStyle w:val="4"/>
        <w:widowControl/>
        <w:numPr>
          <w:ilvl w:val="0"/>
          <w:numId w:val="6"/>
        </w:numPr>
        <w:ind w:left="0" w:leftChars="0" w:firstLine="0" w:firstLineChars="0"/>
        <w:rPr>
          <w:b w:val="0"/>
          <w:bdr w:val="none" w:sz="0" w:space="0"/>
        </w:rPr>
      </w:pPr>
      <w:bookmarkStart w:id="21" w:name="X249be7be23b6a83e32c5946494e8ab3c6118cca"/>
      <w:r>
        <w:t>方向四：波形智能压缩与事件摘要</w:t>
      </w:r>
    </w:p>
    <w:p w14:paraId="0FCFA107">
      <w:pPr>
        <w:pStyle w:val="5"/>
        <w:widowControl/>
      </w:pPr>
      <w:bookmarkStart w:id="22" w:name="ux9700ux6c42ux8bf4ux660e-3"/>
      <w:r>
        <w:t>需求说明</w:t>
      </w:r>
    </w:p>
    <w:p w14:paraId="06467FA4">
      <w:pPr>
        <w:pStyle w:val="3"/>
        <w:rPr>
          <w:rFonts w:ascii="Times New Roman" w:hAnsi="Times New Roman" w:eastAsia="宋体" w:cs="Times New Roman"/>
          <w:sz w:val="24"/>
          <w:szCs w:val="24"/>
        </w:rPr>
      </w:pPr>
      <w:r>
        <w:rPr>
          <w:rFonts w:ascii="Times New Roman" w:hAnsi="Times New Roman" w:eastAsia="宋体" w:cs="Times New Roman"/>
          <w:sz w:val="24"/>
          <w:szCs w:val="24"/>
        </w:rPr>
        <w:t>连续波形数据量大，长期全量上传成本高。尤其是专变/ECU 终端每周波 512 点采样，数据量高于智能融合终端 256 点/周波采样。需要在终端侧建立波形筛选、特征提取和事件摘要机制，实现“正常数据轻量上传、异常数据重点保留、相似事件合并上报”。</w:t>
      </w:r>
    </w:p>
    <w:bookmarkEnd w:id="22"/>
    <w:p w14:paraId="1F869F2E">
      <w:pPr>
        <w:pStyle w:val="5"/>
        <w:widowControl/>
      </w:pPr>
      <w:bookmarkStart w:id="23" w:name="ux6570ux636eux5904ux7406ux7b56ux7565"/>
      <w:r>
        <w:t>数据处理策略</w:t>
      </w:r>
    </w:p>
    <w:p w14:paraId="1C5BD3B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正常状态：上传统计指标和低频特征；</w:t>
      </w:r>
    </w:p>
    <w:p w14:paraId="1242D2F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轻微异常：上传事件摘要和关键特征；</w:t>
      </w:r>
    </w:p>
    <w:p w14:paraId="11BB29B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重要异常：上传事件前后完整波形片段；</w:t>
      </w:r>
    </w:p>
    <w:p w14:paraId="2915271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重复异常：聚类后上传代表样本；</w:t>
      </w:r>
    </w:p>
    <w:p w14:paraId="24BA5C0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高风险异常：触发实时告警和波形冻结。</w:t>
      </w:r>
    </w:p>
    <w:bookmarkEnd w:id="23"/>
    <w:p w14:paraId="157805A0">
      <w:pPr>
        <w:pStyle w:val="5"/>
        <w:widowControl/>
      </w:pPr>
      <w:bookmarkStart w:id="24" w:name="ai-ux589eux5f3aux80fdux529b-3"/>
      <w:r>
        <w:t>AI 增强能力</w:t>
      </w:r>
    </w:p>
    <w:p w14:paraId="3492DAE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正常/异常波形自动区分；</w:t>
      </w:r>
    </w:p>
    <w:p w14:paraId="24054F4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波形片段自动打标签；</w:t>
      </w:r>
    </w:p>
    <w:p w14:paraId="0680634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相似事件聚类；</w:t>
      </w:r>
    </w:p>
    <w:p w14:paraId="5089158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代表性样本选择；</w:t>
      </w:r>
    </w:p>
    <w:p w14:paraId="4DE70F6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智能压缩比评估；</w:t>
      </w:r>
    </w:p>
    <w:p w14:paraId="672C5BF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异常样本优先级排序。</w:t>
      </w:r>
    </w:p>
    <w:bookmarkEnd w:id="24"/>
    <w:p w14:paraId="7F66D552">
      <w:pPr>
        <w:pStyle w:val="5"/>
        <w:widowControl/>
      </w:pPr>
      <w:bookmarkStart w:id="25" w:name="ux8f93ux51faux7ed3ux679c-2"/>
      <w:r>
        <w:t>输出结果</w:t>
      </w:r>
    </w:p>
    <w:p w14:paraId="73906B8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波形上传策略；</w:t>
      </w:r>
    </w:p>
    <w:p w14:paraId="4DFE7C5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事件样本库；</w:t>
      </w:r>
    </w:p>
    <w:p w14:paraId="552E56D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异常摘要；</w:t>
      </w:r>
    </w:p>
    <w:p w14:paraId="2286EA5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波形压缩比；</w:t>
      </w:r>
    </w:p>
    <w:p w14:paraId="2EF0C43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数据质量评估结果。</w:t>
      </w:r>
    </w:p>
    <w:bookmarkEnd w:id="21"/>
    <w:bookmarkEnd w:id="25"/>
    <w:p w14:paraId="0A254422">
      <w:pPr>
        <w:pStyle w:val="4"/>
        <w:widowControl/>
        <w:numPr>
          <w:ilvl w:val="0"/>
          <w:numId w:val="6"/>
        </w:numPr>
        <w:ind w:left="0" w:leftChars="0" w:firstLine="0" w:firstLineChars="0"/>
        <w:rPr>
          <w:b w:val="0"/>
          <w:bdr w:val="none" w:sz="0" w:space="0"/>
        </w:rPr>
      </w:pPr>
      <w:bookmarkStart w:id="26" w:name="X4b8aff589b66e4747f640602ccef0247f91fbea"/>
      <w:r>
        <w:t>方向五：多终端协同诊断与跨采样率分析</w:t>
      </w:r>
    </w:p>
    <w:p w14:paraId="51CE444E">
      <w:pPr>
        <w:pStyle w:val="5"/>
        <w:widowControl/>
      </w:pPr>
      <w:bookmarkStart w:id="27" w:name="ux9700ux6c42ux8bf4ux660e-4"/>
      <w:r>
        <w:t>需求说明</w:t>
      </w:r>
    </w:p>
    <w:p w14:paraId="240CB3D1">
      <w:pPr>
        <w:pStyle w:val="3"/>
        <w:rPr>
          <w:rFonts w:ascii="Times New Roman" w:hAnsi="Times New Roman" w:eastAsia="宋体" w:cs="Times New Roman"/>
          <w:sz w:val="24"/>
          <w:szCs w:val="24"/>
        </w:rPr>
      </w:pPr>
      <w:r>
        <w:rPr>
          <w:rFonts w:ascii="Times New Roman" w:hAnsi="Times New Roman" w:eastAsia="宋体" w:cs="Times New Roman"/>
          <w:sz w:val="24"/>
          <w:szCs w:val="24"/>
        </w:rPr>
        <w:t>智能融合终端和专变/ECU 终端位于配电网不同层级，采样点数、部署位置和业务对象不同。需要建立多终端协同诊断能力，将台区侧和专变用户侧波形进行统一时间对齐、统一特征抽取和统一事件关联，形成更完整的扰动传播路径分析。</w:t>
      </w:r>
    </w:p>
    <w:bookmarkEnd w:id="27"/>
    <w:p w14:paraId="7F744A16">
      <w:pPr>
        <w:pStyle w:val="5"/>
        <w:widowControl/>
      </w:pPr>
      <w:bookmarkStart w:id="28" w:name="ux5178ux578bux573aux666f"/>
      <w:r>
        <w:t>典型场景</w:t>
      </w:r>
    </w:p>
    <w:p w14:paraId="7FDC802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智能融合终端发现台区电压暂降，专变/ECU 终端同步发现某专变用户电流冲击；</w:t>
      </w:r>
    </w:p>
    <w:p w14:paraId="2903C9E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专变/ECU 终端发现设备启动、变频器运行异常或谐波电流升高；</w:t>
      </w:r>
    </w:p>
    <w:p w14:paraId="215632F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专变/ECU 终端发现用户侧谐波异常，智能融合终端检测到台区电压谐波抬升；</w:t>
      </w:r>
    </w:p>
    <w:p w14:paraId="46BD3E6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多个专变/ECU 终端同时出现电压异常，智能融合终端也出现同类扰动，提示可能来自上级电网或台区公共侧；</w:t>
      </w:r>
    </w:p>
    <w:p w14:paraId="02C056C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智能融合终端仅检测到轻微波动，但专变/ECU 终端 512 点/周波波形已经出现专变用户侧早期异常。</w:t>
      </w:r>
    </w:p>
    <w:bookmarkEnd w:id="28"/>
    <w:p w14:paraId="56774BB4">
      <w:pPr>
        <w:pStyle w:val="5"/>
        <w:widowControl/>
      </w:pPr>
      <w:bookmarkStart w:id="29" w:name="ai-ux589eux5f3aux80fdux529b-4"/>
      <w:r>
        <w:t>AI 增强能力</w:t>
      </w:r>
    </w:p>
    <w:p w14:paraId="39BAC53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256 点/周波与 512 点/周波波形兼容分析；</w:t>
      </w:r>
    </w:p>
    <w:p w14:paraId="6DC7AAD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跨终端事件时间对齐；</w:t>
      </w:r>
    </w:p>
    <w:p w14:paraId="273396D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扰动传播路径识别；</w:t>
      </w:r>
    </w:p>
    <w:p w14:paraId="430C26C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台区、专变用户多层级证据链生成；</w:t>
      </w:r>
    </w:p>
    <w:p w14:paraId="13039FF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同一事件在不同终端数据中的关联聚类；</w:t>
      </w:r>
    </w:p>
    <w:p w14:paraId="616580D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根据不同终端能力选择端侧模型或训练平台侧模型。</w:t>
      </w:r>
    </w:p>
    <w:bookmarkEnd w:id="29"/>
    <w:p w14:paraId="49F4F988">
      <w:pPr>
        <w:pStyle w:val="5"/>
        <w:widowControl/>
      </w:pPr>
      <w:bookmarkStart w:id="30" w:name="ux8f93ux51faux7ed3ux679c-3"/>
      <w:r>
        <w:t>输出结果</w:t>
      </w:r>
    </w:p>
    <w:p w14:paraId="1FD8C7B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跨终端关联事件；</w:t>
      </w:r>
    </w:p>
    <w:p w14:paraId="1126E6C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扰动传播链路；</w:t>
      </w:r>
    </w:p>
    <w:p w14:paraId="5BC532B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源头终端或源头对象判断；</w:t>
      </w:r>
    </w:p>
    <w:p w14:paraId="0A35DE6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多终端证据链；</w:t>
      </w:r>
    </w:p>
    <w:p w14:paraId="1B4E8BE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采样率归一化后的统一特征；</w:t>
      </w:r>
    </w:p>
    <w:p w14:paraId="6B441A1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分终端模型适配建议。</w:t>
      </w:r>
    </w:p>
    <w:bookmarkEnd w:id="26"/>
    <w:bookmarkEnd w:id="30"/>
    <w:p w14:paraId="75BDF9AE">
      <w:pPr>
        <w:pStyle w:val="4"/>
        <w:widowControl/>
        <w:numPr>
          <w:ilvl w:val="0"/>
          <w:numId w:val="6"/>
        </w:numPr>
        <w:ind w:left="0" w:leftChars="0" w:firstLine="0" w:firstLineChars="0"/>
        <w:rPr>
          <w:b w:val="0"/>
          <w:bdr w:val="none" w:sz="0" w:space="0"/>
        </w:rPr>
      </w:pPr>
      <w:bookmarkStart w:id="31" w:name="Xc26c1d4fb5e4bd971e16138ce8fb9876645a24a"/>
      <w:r>
        <w:t>方向六：新能源与充电桩接入影响评估</w:t>
      </w:r>
    </w:p>
    <w:p w14:paraId="6D6047AD">
      <w:pPr>
        <w:pStyle w:val="5"/>
        <w:widowControl/>
      </w:pPr>
      <w:bookmarkStart w:id="32" w:name="ux9700ux6c42ux8bf4ux660e-5"/>
      <w:r>
        <w:t>需求说明</w:t>
      </w:r>
    </w:p>
    <w:p w14:paraId="6C7DC86E">
      <w:pPr>
        <w:pStyle w:val="3"/>
        <w:rPr>
          <w:rFonts w:ascii="Times New Roman" w:hAnsi="Times New Roman" w:eastAsia="宋体" w:cs="Times New Roman"/>
          <w:sz w:val="24"/>
          <w:szCs w:val="24"/>
        </w:rPr>
      </w:pPr>
      <w:r>
        <w:rPr>
          <w:rFonts w:ascii="Times New Roman" w:hAnsi="Times New Roman" w:eastAsia="宋体" w:cs="Times New Roman"/>
          <w:sz w:val="24"/>
          <w:szCs w:val="24"/>
        </w:rPr>
        <w:t>随着低压分布式光伏、储能和充电桩接入规模增加，台区电压越限、电压波动、谐波、不平衡和反向潮流问题将更加突出。终端应利用波形和运行数据，对新能源和充电负荷接入后的电能质量影响进行识别、评估和预测。</w:t>
      </w:r>
    </w:p>
    <w:bookmarkEnd w:id="32"/>
    <w:p w14:paraId="1B91BF3F">
      <w:pPr>
        <w:pStyle w:val="5"/>
        <w:widowControl/>
      </w:pPr>
      <w:bookmarkStart w:id="33" w:name="ux5178ux578bux573aux666f-1"/>
      <w:r>
        <w:t>典型场景</w:t>
      </w:r>
    </w:p>
    <w:p w14:paraId="71B0A4C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午间光伏出力导致电压升高；</w:t>
      </w:r>
    </w:p>
    <w:p w14:paraId="1609A0B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傍晚充电负荷导致低电压；</w:t>
      </w:r>
    </w:p>
    <w:p w14:paraId="150008B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光伏逆变器并网或脱网引发暂升、暂降或波动；</w:t>
      </w:r>
    </w:p>
    <w:p w14:paraId="0D02273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充电桩集中接入导致谐波水平升高；</w:t>
      </w:r>
    </w:p>
    <w:p w14:paraId="06BD554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单相充电桩导致三相不平衡；</w:t>
      </w:r>
    </w:p>
    <w:p w14:paraId="0D7F531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储能充放电策略影响台区电压曲线。</w:t>
      </w:r>
    </w:p>
    <w:bookmarkEnd w:id="33"/>
    <w:p w14:paraId="4D84AA58">
      <w:pPr>
        <w:pStyle w:val="5"/>
        <w:widowControl/>
      </w:pPr>
      <w:bookmarkStart w:id="34" w:name="ai-ux589eux5f3aux80fdux529b-5"/>
      <w:r>
        <w:t>AI 增强能力</w:t>
      </w:r>
    </w:p>
    <w:p w14:paraId="4C922CD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识别台区是否存在典型光伏出力特征；</w:t>
      </w:r>
    </w:p>
    <w:p w14:paraId="2E24C17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识别充电负荷集中时段；</w:t>
      </w:r>
    </w:p>
    <w:p w14:paraId="22E5800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预测未来越限风险；</w:t>
      </w:r>
    </w:p>
    <w:p w14:paraId="6B68A5D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评估新增光伏或充电桩接入裕度；</w:t>
      </w:r>
    </w:p>
    <w:p w14:paraId="434399F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推荐调压、换相、无功补偿、储能调度等治理方案。</w:t>
      </w:r>
    </w:p>
    <w:bookmarkEnd w:id="34"/>
    <w:p w14:paraId="4FCF902B">
      <w:pPr>
        <w:pStyle w:val="5"/>
        <w:widowControl/>
      </w:pPr>
      <w:bookmarkStart w:id="35" w:name="ux8f93ux51faux7ed3ux679c-4"/>
      <w:r>
        <w:t>输出结果</w:t>
      </w:r>
    </w:p>
    <w:p w14:paraId="13B67BD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新能源影响评估报告；</w:t>
      </w:r>
    </w:p>
    <w:p w14:paraId="75152A3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充电负荷影响分析；</w:t>
      </w:r>
    </w:p>
    <w:p w14:paraId="3714591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接入容量风险等级；</w:t>
      </w:r>
    </w:p>
    <w:p w14:paraId="6603ADA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台区承载能力动态评价；</w:t>
      </w:r>
    </w:p>
    <w:p w14:paraId="0A8C197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治理建议。</w:t>
      </w:r>
    </w:p>
    <w:bookmarkEnd w:id="31"/>
    <w:bookmarkEnd w:id="35"/>
    <w:p w14:paraId="7D8034F4">
      <w:pPr>
        <w:pStyle w:val="4"/>
        <w:widowControl/>
        <w:numPr>
          <w:ilvl w:val="0"/>
          <w:numId w:val="6"/>
        </w:numPr>
        <w:ind w:left="0" w:leftChars="0" w:firstLine="0" w:firstLineChars="0"/>
        <w:rPr>
          <w:b w:val="0"/>
          <w:bdr w:val="none" w:sz="0" w:space="0"/>
        </w:rPr>
      </w:pPr>
      <w:bookmarkStart w:id="36" w:name="X5552d1edb079fb67f80dc1da8b5300c1b60e9c8"/>
      <w:r>
        <w:t>方向七：低压台区与专变用户隐患识别</w:t>
      </w:r>
    </w:p>
    <w:p w14:paraId="74B6BA05">
      <w:pPr>
        <w:pStyle w:val="5"/>
        <w:widowControl/>
      </w:pPr>
      <w:bookmarkStart w:id="37" w:name="ux9700ux6c42ux8bf4ux660e-6"/>
      <w:r>
        <w:t>需求说明</w:t>
      </w:r>
    </w:p>
    <w:p w14:paraId="11547945">
      <w:pPr>
        <w:pStyle w:val="3"/>
        <w:rPr>
          <w:rFonts w:ascii="Times New Roman" w:hAnsi="Times New Roman" w:eastAsia="宋体" w:cs="Times New Roman"/>
          <w:sz w:val="24"/>
          <w:szCs w:val="24"/>
        </w:rPr>
      </w:pPr>
      <w:r>
        <w:rPr>
          <w:rFonts w:ascii="Times New Roman" w:hAnsi="Times New Roman" w:eastAsia="宋体" w:cs="Times New Roman"/>
          <w:sz w:val="24"/>
          <w:szCs w:val="24"/>
        </w:rPr>
        <w:t>电能质量数据能够反映低压台区和专变用户运行状态。通过对电压、电流、谐波、三相不平衡和事件数据进行长期分析，可识别潜在设备隐患。</w:t>
      </w:r>
    </w:p>
    <w:bookmarkEnd w:id="37"/>
    <w:p w14:paraId="6E2BDC2B">
      <w:pPr>
        <w:pStyle w:val="5"/>
        <w:widowControl/>
      </w:pPr>
      <w:bookmarkStart w:id="38" w:name="ux5178ux578bux9690ux60a3"/>
      <w:r>
        <w:t>典型隐患</w:t>
      </w:r>
    </w:p>
    <w:p w14:paraId="21D71AB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变压器长期过载；</w:t>
      </w:r>
    </w:p>
    <w:p w14:paraId="12342FB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线路压降过大；</w:t>
      </w:r>
    </w:p>
    <w:p w14:paraId="69BA721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开关或接头接触不良；</w:t>
      </w:r>
    </w:p>
    <w:p w14:paraId="18A8797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零线或中性线异常；</w:t>
      </w:r>
    </w:p>
    <w:p w14:paraId="764BBC7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电容补偿装置投切异常；</w:t>
      </w:r>
    </w:p>
    <w:p w14:paraId="5C7E4DD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低压出线负荷分配不合理；</w:t>
      </w:r>
    </w:p>
    <w:p w14:paraId="4C40E2F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谐波导致设备发热风险；</w:t>
      </w:r>
    </w:p>
    <w:p w14:paraId="02F1482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台区末端用户电压长期偏低。</w:t>
      </w:r>
    </w:p>
    <w:p w14:paraId="15A75FA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专变用户内部冲击负荷频繁启动；</w:t>
      </w:r>
    </w:p>
    <w:p w14:paraId="2BA5AAE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专变用户内部设备出现异常启停、变频器异常或局部扰动。</w:t>
      </w:r>
    </w:p>
    <w:bookmarkEnd w:id="38"/>
    <w:p w14:paraId="7A3ABE7E">
      <w:pPr>
        <w:pStyle w:val="5"/>
        <w:widowControl/>
      </w:pPr>
      <w:bookmarkStart w:id="39" w:name="ai-ux589eux5f3aux80fdux529b-6"/>
      <w:r>
        <w:t>AI 增强能力</w:t>
      </w:r>
    </w:p>
    <w:p w14:paraId="6C56010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运行状态趋势识别；</w:t>
      </w:r>
    </w:p>
    <w:p w14:paraId="3233DC7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隐患早期预警；</w:t>
      </w:r>
    </w:p>
    <w:p w14:paraId="3D7999D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异常模式聚类；</w:t>
      </w:r>
    </w:p>
    <w:p w14:paraId="4EA5CBE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相似台区案例匹配；</w:t>
      </w:r>
    </w:p>
    <w:p w14:paraId="116EC6B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相似专变用户案例匹配；</w:t>
      </w:r>
    </w:p>
    <w:p w14:paraId="71934D2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生成排查路径。</w:t>
      </w:r>
    </w:p>
    <w:bookmarkEnd w:id="39"/>
    <w:p w14:paraId="7AD3896B">
      <w:pPr>
        <w:pStyle w:val="5"/>
        <w:widowControl/>
      </w:pPr>
      <w:bookmarkStart w:id="40" w:name="ux8f93ux51faux7ed3ux679c-5"/>
      <w:r>
        <w:t>输出结果</w:t>
      </w:r>
    </w:p>
    <w:p w14:paraId="0F63CD1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隐患类型；</w:t>
      </w:r>
    </w:p>
    <w:p w14:paraId="08259DF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风险等级；</w:t>
      </w:r>
    </w:p>
    <w:p w14:paraId="04DBF59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影响范围；</w:t>
      </w:r>
    </w:p>
    <w:p w14:paraId="4684B16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疑似原因；</w:t>
      </w:r>
    </w:p>
    <w:p w14:paraId="78BD3A2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排查建议；</w:t>
      </w:r>
    </w:p>
    <w:p w14:paraId="0F98A96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治理优先级。</w:t>
      </w:r>
    </w:p>
    <w:bookmarkEnd w:id="36"/>
    <w:bookmarkEnd w:id="40"/>
    <w:p w14:paraId="0E04D06E">
      <w:pPr>
        <w:pStyle w:val="4"/>
        <w:widowControl/>
        <w:numPr>
          <w:ilvl w:val="0"/>
          <w:numId w:val="6"/>
        </w:numPr>
        <w:ind w:left="0" w:leftChars="0" w:firstLine="0" w:firstLineChars="0"/>
        <w:rPr>
          <w:b w:val="0"/>
          <w:bdr w:val="none" w:sz="0" w:space="0"/>
        </w:rPr>
      </w:pPr>
      <w:bookmarkStart w:id="41" w:name="Xf14e5288e32a040145dac6a43cd44e6fa3eabf5"/>
      <w:r>
        <w:t>方向八：大模型辅助电能质量专家系统</w:t>
      </w:r>
    </w:p>
    <w:p w14:paraId="605B9A0C">
      <w:pPr>
        <w:pStyle w:val="5"/>
        <w:widowControl/>
      </w:pPr>
      <w:bookmarkStart w:id="42" w:name="ux9700ux6c42ux8bf4ux660e-7"/>
      <w:r>
        <w:t>需求说明</w:t>
      </w:r>
    </w:p>
    <w:p w14:paraId="04F4D88E">
      <w:pPr>
        <w:pStyle w:val="3"/>
        <w:rPr>
          <w:rFonts w:ascii="Times New Roman" w:hAnsi="Times New Roman" w:eastAsia="宋体" w:cs="Times New Roman"/>
          <w:sz w:val="24"/>
          <w:szCs w:val="24"/>
        </w:rPr>
      </w:pPr>
      <w:r>
        <w:rPr>
          <w:rFonts w:ascii="Times New Roman" w:hAnsi="Times New Roman" w:eastAsia="宋体" w:cs="Times New Roman"/>
          <w:sz w:val="24"/>
          <w:szCs w:val="24"/>
        </w:rPr>
        <w:t>大模型不直接参与实时波形判据计算，而是作为电能质量专家助手，连接指标库、事件库、知识库、规程标准、历史案例和模型分析结果，为运维人员提供自然语言查询、解释、报告和决策辅助能力。</w:t>
      </w:r>
    </w:p>
    <w:bookmarkEnd w:id="42"/>
    <w:p w14:paraId="2EF3F499">
      <w:pPr>
        <w:pStyle w:val="5"/>
        <w:widowControl/>
      </w:pPr>
      <w:bookmarkStart w:id="43" w:name="ux5178ux578bux4ea4ux4e92"/>
      <w:r>
        <w:t>典型交互</w:t>
      </w:r>
    </w:p>
    <w:p w14:paraId="47459A1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“昨天该台区电压合格率下降的原因是什么？”</w:t>
      </w:r>
    </w:p>
    <w:p w14:paraId="6150A00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“本月暂降事件最多的台区有哪些？”</w:t>
      </w:r>
    </w:p>
    <w:p w14:paraId="1B75C7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“这个波形更像用户侧问题还是电网侧问题？”</w:t>
      </w:r>
    </w:p>
    <w:p w14:paraId="14C03B2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“帮我生成该台区电能质量月度分析报告。”</w:t>
      </w:r>
    </w:p>
    <w:p w14:paraId="2A4715E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“新增 100 kW 光伏后，该台区是否存在电压越限风险？”</w:t>
      </w:r>
    </w:p>
    <w:p w14:paraId="3774E64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“给出该台区治理建议，并按成本和紧急程度排序。”</w:t>
      </w:r>
    </w:p>
    <w:p w14:paraId="78FA76D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“专变/ECU 终端采到的 512 点波形与台区侧 256 点波形是否指向同一个扰动源？”</w:t>
      </w:r>
    </w:p>
    <w:p w14:paraId="2EE2D72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“这个专变用户的谐波异常是否已经影响到台区公共侧？”</w:t>
      </w:r>
    </w:p>
    <w:bookmarkEnd w:id="43"/>
    <w:p w14:paraId="6273432F">
      <w:pPr>
        <w:pStyle w:val="5"/>
        <w:widowControl/>
      </w:pPr>
      <w:bookmarkStart w:id="44" w:name="ux7cfbux7edfux80fdux529b"/>
      <w:r>
        <w:t>系统能力</w:t>
      </w:r>
    </w:p>
    <w:p w14:paraId="18FAE61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自然语言查询；</w:t>
      </w:r>
    </w:p>
    <w:p w14:paraId="464DB23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指标解释；</w:t>
      </w:r>
    </w:p>
    <w:p w14:paraId="199CD3C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事件归因说明；</w:t>
      </w:r>
    </w:p>
    <w:p w14:paraId="491D8CD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报告自动生成；</w:t>
      </w:r>
    </w:p>
    <w:p w14:paraId="2B3216B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治理建议生成；</w:t>
      </w:r>
    </w:p>
    <w:p w14:paraId="40C6756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历史案例检索；</w:t>
      </w:r>
    </w:p>
    <w:p w14:paraId="7669912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标准和规程辅助问答；</w:t>
      </w:r>
    </w:p>
    <w:p w14:paraId="6ED47F5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运维工单辅助生成。</w:t>
      </w:r>
    </w:p>
    <w:bookmarkEnd w:id="44"/>
    <w:p w14:paraId="5210826B">
      <w:pPr>
        <w:pStyle w:val="5"/>
        <w:widowControl/>
      </w:pPr>
      <w:bookmarkStart w:id="45" w:name="ux5173ux952eux8981ux6c42"/>
      <w:r>
        <w:t>关键要求</w:t>
      </w:r>
    </w:p>
    <w:p w14:paraId="6F3FBF6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大模型回答必须基于结构化数据、事件证据和知识库检索结果；</w:t>
      </w:r>
    </w:p>
    <w:p w14:paraId="74D4BD2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对不确定结论应输出置信度或“不足以判断”；</w:t>
      </w:r>
    </w:p>
    <w:p w14:paraId="39BD015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对治理建议应列出依据，避免直接给出无证据结论；</w:t>
      </w:r>
    </w:p>
    <w:p w14:paraId="2D40A94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涉及标准限值、试验结论和责任判定时，应保留人工审核环节。</w:t>
      </w:r>
    </w:p>
    <w:bookmarkEnd w:id="5"/>
    <w:bookmarkEnd w:id="41"/>
    <w:bookmarkEnd w:id="45"/>
    <w:p w14:paraId="7C93BD93">
      <w:pPr>
        <w:pStyle w:val="2"/>
        <w:widowControl/>
        <w:numPr>
          <w:ilvl w:val="0"/>
          <w:numId w:val="1"/>
        </w:numPr>
        <w:ind w:left="0" w:leftChars="0" w:firstLine="0" w:firstLineChars="0"/>
        <w:rPr>
          <w:b w:val="0"/>
          <w:bdr w:val="none" w:sz="0" w:space="0"/>
        </w:rPr>
      </w:pPr>
      <w:bookmarkStart w:id="46" w:name="ux6570ux636eux5904ux7406ux65b9ux6848"/>
      <w:r>
        <w:t>数据处理方案</w:t>
      </w:r>
    </w:p>
    <w:p w14:paraId="7479FE4B">
      <w:pPr>
        <w:pStyle w:val="4"/>
        <w:widowControl/>
        <w:numPr>
          <w:ilvl w:val="0"/>
          <w:numId w:val="7"/>
        </w:numPr>
        <w:ind w:left="0" w:leftChars="0" w:firstLine="0" w:firstLineChars="0"/>
        <w:rPr>
          <w:b w:val="0"/>
          <w:bdr w:val="none" w:sz="0" w:space="0"/>
        </w:rPr>
      </w:pPr>
      <w:bookmarkStart w:id="47" w:name="ux6570ux636eux7c7bux578b"/>
      <w:r>
        <w:t>数据类型</w:t>
      </w:r>
    </w:p>
    <w:p w14:paraId="4D259397">
      <w:pPr>
        <w:pStyle w:val="3"/>
        <w:rPr>
          <w:rFonts w:ascii="Times New Roman" w:hAnsi="Times New Roman" w:eastAsia="宋体" w:cs="Times New Roman"/>
          <w:sz w:val="24"/>
          <w:szCs w:val="24"/>
        </w:rPr>
      </w:pPr>
      <w:r>
        <w:rPr>
          <w:rFonts w:ascii="Times New Roman" w:hAnsi="Times New Roman" w:eastAsia="宋体" w:cs="Times New Roman"/>
          <w:sz w:val="24"/>
          <w:szCs w:val="24"/>
        </w:rPr>
        <w:t>本课题涉及的数据包括：</w:t>
      </w:r>
    </w:p>
    <w:tbl>
      <w:tblPr>
        <w:tblStyle w:val="2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4206"/>
        <w:gridCol w:w="2754"/>
      </w:tblGrid>
      <w:tr w14:paraId="494AD26B">
        <w:trPr>
          <w:trHeight w:val="0" w:hRule="atLeast"/>
          <w:tblHeader/>
          <w:jc w:val="center"/>
        </w:trPr>
        <w:tc>
          <w:tcPr>
            <w:tcW w:w="0" w:type="auto"/>
            <w:vAlign w:val="center"/>
          </w:tcPr>
          <w:p w14:paraId="3C461C1B">
            <w:pPr>
              <w:pStyle w:val="24"/>
              <w:snapToGrid w:val="0"/>
              <w:spacing w:line="240" w:lineRule="auto"/>
              <w:ind w:left="0" w:leftChars="0" w:right="0" w:rightChars="0" w:firstLine="0" w:firstLineChars="0"/>
              <w:jc w:val="center"/>
              <w:rPr>
                <w:b/>
              </w:rPr>
            </w:pPr>
            <w:r>
              <w:rPr>
                <w:rFonts w:hint="eastAsia"/>
                <w:b/>
              </w:rPr>
              <w:t>数据类型</w:t>
            </w:r>
          </w:p>
        </w:tc>
        <w:tc>
          <w:tcPr>
            <w:tcW w:w="4206" w:type="dxa"/>
            <w:vAlign w:val="center"/>
          </w:tcPr>
          <w:p w14:paraId="29B20BCF">
            <w:pPr>
              <w:pStyle w:val="24"/>
              <w:snapToGrid w:val="0"/>
              <w:spacing w:line="240" w:lineRule="auto"/>
              <w:ind w:left="0" w:leftChars="0" w:right="0" w:rightChars="0" w:firstLine="0" w:firstLineChars="0"/>
              <w:jc w:val="center"/>
              <w:rPr>
                <w:b/>
              </w:rPr>
            </w:pPr>
            <w:r>
              <w:rPr>
                <w:rFonts w:hint="eastAsia"/>
                <w:b/>
              </w:rPr>
              <w:t>主要内容</w:t>
            </w:r>
          </w:p>
        </w:tc>
        <w:tc>
          <w:tcPr>
            <w:tcW w:w="2754" w:type="dxa"/>
            <w:vAlign w:val="center"/>
          </w:tcPr>
          <w:p w14:paraId="27470748">
            <w:pPr>
              <w:pStyle w:val="24"/>
              <w:snapToGrid w:val="0"/>
              <w:spacing w:line="240" w:lineRule="auto"/>
              <w:ind w:left="0" w:leftChars="0" w:right="0" w:rightChars="0" w:firstLine="0" w:firstLineChars="0"/>
              <w:jc w:val="center"/>
              <w:rPr>
                <w:b/>
              </w:rPr>
            </w:pPr>
            <w:r>
              <w:rPr>
                <w:rFonts w:hint="eastAsia"/>
                <w:b/>
              </w:rPr>
              <w:t>用途</w:t>
            </w:r>
          </w:p>
        </w:tc>
      </w:tr>
      <w:tr w14:paraId="51815E86">
        <w:trPr>
          <w:trHeight w:val="0" w:hRule="atLeast"/>
          <w:jc w:val="center"/>
        </w:trPr>
        <w:tc>
          <w:tcPr>
            <w:tcW w:w="0" w:type="auto"/>
            <w:vAlign w:val="center"/>
          </w:tcPr>
          <w:p w14:paraId="0198370C">
            <w:pPr>
              <w:pStyle w:val="24"/>
              <w:snapToGrid w:val="0"/>
              <w:spacing w:line="240" w:lineRule="auto"/>
              <w:ind w:left="0" w:leftChars="0" w:right="0" w:rightChars="0" w:firstLine="0" w:firstLineChars="0"/>
              <w:jc w:val="center"/>
            </w:pPr>
            <w:r>
              <w:rPr>
                <w:rFonts w:hint="eastAsia"/>
              </w:rPr>
              <w:t>原始波形数据</w:t>
            </w:r>
          </w:p>
        </w:tc>
        <w:tc>
          <w:tcPr>
            <w:tcW w:w="4206" w:type="dxa"/>
            <w:vAlign w:val="center"/>
          </w:tcPr>
          <w:p w14:paraId="1340603F">
            <w:pPr>
              <w:pStyle w:val="24"/>
              <w:snapToGrid w:val="0"/>
              <w:spacing w:line="240" w:lineRule="auto"/>
              <w:ind w:left="0" w:leftChars="0" w:right="0" w:rightChars="0" w:firstLine="0" w:firstLineChars="0"/>
              <w:jc w:val="left"/>
            </w:pPr>
            <w:r>
              <w:rPr>
                <w:rFonts w:hint="eastAsia"/>
              </w:rPr>
              <w:t>三相电压、电流；智能融合终端</w:t>
            </w:r>
            <w:r>
              <w:t xml:space="preserve"> 256 </w:t>
            </w:r>
            <w:r>
              <w:rPr>
                <w:rFonts w:hint="eastAsia"/>
              </w:rPr>
              <w:t>点/周波；专变/ECU</w:t>
            </w:r>
            <w:r>
              <w:t xml:space="preserve"> </w:t>
            </w:r>
            <w:r>
              <w:rPr>
                <w:rFonts w:hint="eastAsia"/>
              </w:rPr>
              <w:t>终端</w:t>
            </w:r>
            <w:r>
              <w:t xml:space="preserve"> 512 </w:t>
            </w:r>
            <w:r>
              <w:rPr>
                <w:rFonts w:hint="eastAsia"/>
              </w:rPr>
              <w:t>点/周波</w:t>
            </w:r>
          </w:p>
        </w:tc>
        <w:tc>
          <w:tcPr>
            <w:tcW w:w="2754" w:type="dxa"/>
            <w:vAlign w:val="center"/>
          </w:tcPr>
          <w:p w14:paraId="740936B2">
            <w:pPr>
              <w:pStyle w:val="24"/>
              <w:snapToGrid w:val="0"/>
              <w:spacing w:line="240" w:lineRule="auto"/>
              <w:ind w:left="0" w:leftChars="0" w:right="0" w:rightChars="0" w:firstLine="0" w:firstLineChars="0"/>
              <w:jc w:val="left"/>
            </w:pPr>
            <w:r>
              <w:rPr>
                <w:rFonts w:hint="eastAsia"/>
              </w:rPr>
              <w:t>事件识别、模型训练、波形回放、跨终端关联</w:t>
            </w:r>
          </w:p>
        </w:tc>
      </w:tr>
      <w:tr w14:paraId="630FBBF2">
        <w:trPr>
          <w:trHeight w:val="0" w:hRule="atLeast"/>
          <w:jc w:val="center"/>
        </w:trPr>
        <w:tc>
          <w:tcPr>
            <w:tcW w:w="0" w:type="auto"/>
            <w:vAlign w:val="center"/>
          </w:tcPr>
          <w:p w14:paraId="0F697896">
            <w:pPr>
              <w:pStyle w:val="24"/>
              <w:snapToGrid w:val="0"/>
              <w:spacing w:line="240" w:lineRule="auto"/>
              <w:ind w:left="0" w:leftChars="0" w:right="0" w:rightChars="0" w:firstLine="0" w:firstLineChars="0"/>
              <w:jc w:val="center"/>
            </w:pPr>
            <w:r>
              <w:rPr>
                <w:rFonts w:hint="eastAsia"/>
              </w:rPr>
              <w:t>终端元数据</w:t>
            </w:r>
          </w:p>
        </w:tc>
        <w:tc>
          <w:tcPr>
            <w:tcW w:w="4206" w:type="dxa"/>
            <w:vAlign w:val="center"/>
          </w:tcPr>
          <w:p w14:paraId="30D517F7">
            <w:pPr>
              <w:pStyle w:val="24"/>
              <w:snapToGrid w:val="0"/>
              <w:spacing w:line="240" w:lineRule="auto"/>
              <w:ind w:left="0" w:leftChars="0" w:right="0" w:rightChars="0" w:firstLine="0" w:firstLineChars="0"/>
              <w:jc w:val="left"/>
            </w:pPr>
            <w:r>
              <w:rPr>
                <w:rFonts w:hint="eastAsia"/>
              </w:rPr>
              <w:t>终端类型、终端编号、采样点数、采样率、通道定义、安装位置、通信方式、外观形式</w:t>
            </w:r>
          </w:p>
        </w:tc>
        <w:tc>
          <w:tcPr>
            <w:tcW w:w="2754" w:type="dxa"/>
            <w:vAlign w:val="center"/>
          </w:tcPr>
          <w:p w14:paraId="3DE0582A">
            <w:pPr>
              <w:pStyle w:val="24"/>
              <w:snapToGrid w:val="0"/>
              <w:spacing w:line="240" w:lineRule="auto"/>
              <w:ind w:left="0" w:leftChars="0" w:right="0" w:rightChars="0" w:firstLine="0" w:firstLineChars="0"/>
              <w:jc w:val="left"/>
            </w:pPr>
            <w:r>
              <w:rPr>
                <w:rFonts w:hint="eastAsia"/>
              </w:rPr>
              <w:t>多终端统一接入和模型适配</w:t>
            </w:r>
          </w:p>
        </w:tc>
      </w:tr>
      <w:tr w14:paraId="011BD755">
        <w:trPr>
          <w:trHeight w:val="0" w:hRule="atLeast"/>
          <w:jc w:val="center"/>
        </w:trPr>
        <w:tc>
          <w:tcPr>
            <w:tcW w:w="0" w:type="auto"/>
            <w:vAlign w:val="center"/>
          </w:tcPr>
          <w:p w14:paraId="5F21AFC9">
            <w:pPr>
              <w:pStyle w:val="24"/>
              <w:snapToGrid w:val="0"/>
              <w:spacing w:line="240" w:lineRule="auto"/>
              <w:ind w:left="0" w:leftChars="0" w:right="0" w:rightChars="0" w:firstLine="0" w:firstLineChars="0"/>
              <w:jc w:val="center"/>
            </w:pPr>
            <w:r>
              <w:rPr>
                <w:rFonts w:hint="eastAsia"/>
              </w:rPr>
              <w:t>基础电参量</w:t>
            </w:r>
          </w:p>
        </w:tc>
        <w:tc>
          <w:tcPr>
            <w:tcW w:w="4206" w:type="dxa"/>
            <w:vAlign w:val="center"/>
          </w:tcPr>
          <w:p w14:paraId="3CD9A3B4">
            <w:pPr>
              <w:pStyle w:val="24"/>
              <w:snapToGrid w:val="0"/>
              <w:spacing w:line="240" w:lineRule="auto"/>
              <w:ind w:left="0" w:leftChars="0" w:right="0" w:rightChars="0" w:firstLine="0" w:firstLineChars="0"/>
              <w:jc w:val="left"/>
            </w:pPr>
            <w:r>
              <w:rPr>
                <w:rFonts w:hint="eastAsia"/>
              </w:rPr>
              <w:t>电压、电流、有功、无功、功率因数、频率</w:t>
            </w:r>
          </w:p>
        </w:tc>
        <w:tc>
          <w:tcPr>
            <w:tcW w:w="2754" w:type="dxa"/>
            <w:vAlign w:val="center"/>
          </w:tcPr>
          <w:p w14:paraId="0BD723F1">
            <w:pPr>
              <w:pStyle w:val="24"/>
              <w:snapToGrid w:val="0"/>
              <w:spacing w:line="240" w:lineRule="auto"/>
              <w:ind w:left="0" w:leftChars="0" w:right="0" w:rightChars="0" w:firstLine="0" w:firstLineChars="0"/>
              <w:jc w:val="left"/>
            </w:pPr>
            <w:r>
              <w:rPr>
                <w:rFonts w:hint="eastAsia"/>
              </w:rPr>
              <w:t>台区和专变用户运行分析</w:t>
            </w:r>
          </w:p>
        </w:tc>
      </w:tr>
      <w:tr w14:paraId="672CE450">
        <w:trPr>
          <w:trHeight w:val="0" w:hRule="atLeast"/>
          <w:jc w:val="center"/>
        </w:trPr>
        <w:tc>
          <w:tcPr>
            <w:tcW w:w="0" w:type="auto"/>
            <w:vAlign w:val="center"/>
          </w:tcPr>
          <w:p w14:paraId="6F1E9283">
            <w:pPr>
              <w:pStyle w:val="24"/>
              <w:snapToGrid w:val="0"/>
              <w:spacing w:line="240" w:lineRule="auto"/>
              <w:ind w:left="0" w:leftChars="0" w:right="0" w:rightChars="0" w:firstLine="0" w:firstLineChars="0"/>
              <w:jc w:val="center"/>
            </w:pPr>
            <w:r>
              <w:rPr>
                <w:rFonts w:hint="eastAsia"/>
              </w:rPr>
              <w:t>电能质量指标</w:t>
            </w:r>
          </w:p>
        </w:tc>
        <w:tc>
          <w:tcPr>
            <w:tcW w:w="4206" w:type="dxa"/>
            <w:vAlign w:val="center"/>
          </w:tcPr>
          <w:p w14:paraId="2759DCB3">
            <w:pPr>
              <w:pStyle w:val="24"/>
              <w:snapToGrid w:val="0"/>
              <w:spacing w:line="240" w:lineRule="auto"/>
              <w:ind w:left="0" w:leftChars="0" w:right="0" w:rightChars="0" w:firstLine="0" w:firstLineChars="0"/>
              <w:jc w:val="left"/>
            </w:pPr>
            <w:r>
              <w:rPr>
                <w:rFonts w:hint="eastAsia"/>
              </w:rPr>
              <w:t>电压偏差、波动、不平衡、谐波、闪变、暂升暂降等</w:t>
            </w:r>
          </w:p>
        </w:tc>
        <w:tc>
          <w:tcPr>
            <w:tcW w:w="2754" w:type="dxa"/>
            <w:vAlign w:val="center"/>
          </w:tcPr>
          <w:p w14:paraId="3BE37B17">
            <w:pPr>
              <w:pStyle w:val="24"/>
              <w:snapToGrid w:val="0"/>
              <w:spacing w:line="240" w:lineRule="auto"/>
              <w:ind w:left="0" w:leftChars="0" w:right="0" w:rightChars="0" w:firstLine="0" w:firstLineChars="0"/>
              <w:jc w:val="left"/>
            </w:pPr>
            <w:r>
              <w:rPr>
                <w:rFonts w:hint="eastAsia"/>
              </w:rPr>
              <w:t>标准判据和标签来源</w:t>
            </w:r>
          </w:p>
        </w:tc>
      </w:tr>
      <w:tr w14:paraId="0C62A4C0">
        <w:trPr>
          <w:trHeight w:val="0" w:hRule="atLeast"/>
          <w:jc w:val="center"/>
        </w:trPr>
        <w:tc>
          <w:tcPr>
            <w:tcW w:w="0" w:type="auto"/>
            <w:vAlign w:val="center"/>
          </w:tcPr>
          <w:p w14:paraId="7F206AC8">
            <w:pPr>
              <w:pStyle w:val="24"/>
              <w:snapToGrid w:val="0"/>
              <w:spacing w:line="240" w:lineRule="auto"/>
              <w:ind w:left="0" w:leftChars="0" w:right="0" w:rightChars="0" w:firstLine="0" w:firstLineChars="0"/>
              <w:jc w:val="center"/>
            </w:pPr>
            <w:r>
              <w:rPr>
                <w:rFonts w:hint="eastAsia"/>
              </w:rPr>
              <w:t>事件数据</w:t>
            </w:r>
          </w:p>
        </w:tc>
        <w:tc>
          <w:tcPr>
            <w:tcW w:w="4206" w:type="dxa"/>
            <w:vAlign w:val="center"/>
          </w:tcPr>
          <w:p w14:paraId="7771BD5B">
            <w:pPr>
              <w:pStyle w:val="24"/>
              <w:snapToGrid w:val="0"/>
              <w:spacing w:line="240" w:lineRule="auto"/>
              <w:ind w:left="0" w:leftChars="0" w:right="0" w:rightChars="0" w:firstLine="0" w:firstLineChars="0"/>
              <w:jc w:val="center"/>
            </w:pPr>
            <w:r>
              <w:rPr>
                <w:rFonts w:hint="eastAsia"/>
              </w:rPr>
              <w:t>事件类型、时间、持续时间、幅值、相别、关联终端</w:t>
            </w:r>
          </w:p>
        </w:tc>
        <w:tc>
          <w:tcPr>
            <w:tcW w:w="2754" w:type="dxa"/>
            <w:vAlign w:val="center"/>
          </w:tcPr>
          <w:p w14:paraId="078C586D">
            <w:pPr>
              <w:pStyle w:val="24"/>
              <w:snapToGrid w:val="0"/>
              <w:spacing w:line="240" w:lineRule="auto"/>
              <w:ind w:left="0" w:leftChars="0" w:right="0" w:rightChars="0" w:firstLine="0" w:firstLineChars="0"/>
              <w:jc w:val="center"/>
            </w:pPr>
            <w:r>
              <w:rPr>
                <w:rFonts w:hint="eastAsia"/>
              </w:rPr>
              <w:t>事件库建设和跨终端事件关联</w:t>
            </w:r>
          </w:p>
        </w:tc>
      </w:tr>
      <w:tr w14:paraId="26FE90D3">
        <w:trPr>
          <w:trHeight w:val="0" w:hRule="atLeast"/>
          <w:jc w:val="center"/>
        </w:trPr>
        <w:tc>
          <w:tcPr>
            <w:tcW w:w="0" w:type="auto"/>
            <w:vAlign w:val="center"/>
          </w:tcPr>
          <w:p w14:paraId="457C44A0">
            <w:pPr>
              <w:pStyle w:val="24"/>
              <w:snapToGrid w:val="0"/>
              <w:spacing w:line="240" w:lineRule="auto"/>
              <w:ind w:left="0" w:leftChars="0" w:right="0" w:rightChars="0" w:firstLine="0" w:firstLineChars="0"/>
              <w:jc w:val="center"/>
            </w:pPr>
            <w:r>
              <w:rPr>
                <w:rFonts w:hint="eastAsia"/>
              </w:rPr>
              <w:t>台区与用户档案</w:t>
            </w:r>
          </w:p>
        </w:tc>
        <w:tc>
          <w:tcPr>
            <w:tcW w:w="4206" w:type="dxa"/>
            <w:vAlign w:val="center"/>
          </w:tcPr>
          <w:p w14:paraId="0D502388">
            <w:pPr>
              <w:pStyle w:val="24"/>
              <w:snapToGrid w:val="0"/>
              <w:spacing w:line="240" w:lineRule="auto"/>
              <w:ind w:left="0" w:leftChars="0" w:right="0" w:rightChars="0" w:firstLine="0" w:firstLineChars="0"/>
              <w:jc w:val="left"/>
            </w:pPr>
            <w:r>
              <w:rPr>
                <w:rFonts w:hint="eastAsia"/>
              </w:rPr>
              <w:t>变压器容量、线路拓扑、用户类型、专变容量、新能源接入情况、重要设备清单</w:t>
            </w:r>
          </w:p>
        </w:tc>
        <w:tc>
          <w:tcPr>
            <w:tcW w:w="2754" w:type="dxa"/>
            <w:vAlign w:val="center"/>
          </w:tcPr>
          <w:p w14:paraId="47502C73">
            <w:pPr>
              <w:pStyle w:val="24"/>
              <w:snapToGrid w:val="0"/>
              <w:spacing w:line="240" w:lineRule="auto"/>
              <w:ind w:left="0" w:leftChars="0" w:right="0" w:rightChars="0" w:firstLine="0" w:firstLineChars="0"/>
              <w:jc w:val="left"/>
            </w:pPr>
            <w:r>
              <w:rPr>
                <w:rFonts w:hint="eastAsia"/>
              </w:rPr>
              <w:t>归因分析和场景建模</w:t>
            </w:r>
          </w:p>
        </w:tc>
      </w:tr>
      <w:tr w14:paraId="683BE58B">
        <w:trPr>
          <w:trHeight w:val="0" w:hRule="atLeast"/>
          <w:jc w:val="center"/>
        </w:trPr>
        <w:tc>
          <w:tcPr>
            <w:tcW w:w="0" w:type="auto"/>
            <w:vAlign w:val="center"/>
          </w:tcPr>
          <w:p w14:paraId="528B7CF6">
            <w:pPr>
              <w:pStyle w:val="24"/>
              <w:snapToGrid w:val="0"/>
              <w:spacing w:line="240" w:lineRule="auto"/>
              <w:ind w:left="0" w:leftChars="0" w:right="0" w:rightChars="0" w:firstLine="0" w:firstLineChars="0"/>
              <w:jc w:val="center"/>
            </w:pPr>
            <w:r>
              <w:rPr>
                <w:rFonts w:hint="eastAsia"/>
              </w:rPr>
              <w:t>专变设备状态数据</w:t>
            </w:r>
          </w:p>
        </w:tc>
        <w:tc>
          <w:tcPr>
            <w:tcW w:w="4206" w:type="dxa"/>
            <w:vAlign w:val="center"/>
          </w:tcPr>
          <w:p w14:paraId="43848A78">
            <w:pPr>
              <w:pStyle w:val="24"/>
              <w:snapToGrid w:val="0"/>
              <w:spacing w:line="240" w:lineRule="auto"/>
              <w:ind w:left="0" w:leftChars="0" w:right="0" w:rightChars="0" w:firstLine="0" w:firstLineChars="0"/>
              <w:jc w:val="left"/>
            </w:pPr>
            <w:r>
              <w:rPr>
                <w:rFonts w:hint="eastAsia"/>
              </w:rPr>
              <w:t>设备状态、启停状态、运行模式、控制量、故障码</w:t>
            </w:r>
          </w:p>
        </w:tc>
        <w:tc>
          <w:tcPr>
            <w:tcW w:w="2754" w:type="dxa"/>
            <w:vAlign w:val="center"/>
          </w:tcPr>
          <w:p w14:paraId="60118138">
            <w:pPr>
              <w:pStyle w:val="24"/>
              <w:snapToGrid w:val="0"/>
              <w:spacing w:line="240" w:lineRule="auto"/>
              <w:ind w:left="0" w:leftChars="0" w:right="0" w:rightChars="0" w:firstLine="0" w:firstLineChars="0"/>
              <w:jc w:val="left"/>
            </w:pPr>
            <w:r>
              <w:rPr>
                <w:rFonts w:hint="eastAsia"/>
              </w:rPr>
              <w:t>专变用户侧扰动识别和隐患分析</w:t>
            </w:r>
          </w:p>
        </w:tc>
      </w:tr>
      <w:tr w14:paraId="09CF8A36">
        <w:trPr>
          <w:trHeight w:val="0" w:hRule="atLeast"/>
          <w:jc w:val="center"/>
        </w:trPr>
        <w:tc>
          <w:tcPr>
            <w:tcW w:w="0" w:type="auto"/>
            <w:vAlign w:val="center"/>
          </w:tcPr>
          <w:p w14:paraId="55F79302">
            <w:pPr>
              <w:pStyle w:val="24"/>
              <w:snapToGrid w:val="0"/>
              <w:spacing w:line="240" w:lineRule="auto"/>
              <w:ind w:left="0" w:leftChars="0" w:right="0" w:rightChars="0" w:firstLine="0" w:firstLineChars="0"/>
              <w:jc w:val="center"/>
            </w:pPr>
            <w:r>
              <w:rPr>
                <w:rFonts w:hint="eastAsia"/>
              </w:rPr>
              <w:t>运行环境数据</w:t>
            </w:r>
          </w:p>
        </w:tc>
        <w:tc>
          <w:tcPr>
            <w:tcW w:w="4206" w:type="dxa"/>
            <w:vAlign w:val="center"/>
          </w:tcPr>
          <w:p w14:paraId="264DDD22">
            <w:pPr>
              <w:pStyle w:val="24"/>
              <w:snapToGrid w:val="0"/>
              <w:spacing w:line="240" w:lineRule="auto"/>
              <w:ind w:left="0" w:leftChars="0" w:right="0" w:rightChars="0" w:firstLine="0" w:firstLineChars="0"/>
              <w:jc w:val="left"/>
            </w:pPr>
            <w:r>
              <w:rPr>
                <w:rFonts w:hint="eastAsia"/>
              </w:rPr>
              <w:t>天气、节假日、温度、负荷时段</w:t>
            </w:r>
          </w:p>
        </w:tc>
        <w:tc>
          <w:tcPr>
            <w:tcW w:w="2754" w:type="dxa"/>
            <w:vAlign w:val="center"/>
          </w:tcPr>
          <w:p w14:paraId="217C1CB2">
            <w:pPr>
              <w:pStyle w:val="24"/>
              <w:snapToGrid w:val="0"/>
              <w:spacing w:line="240" w:lineRule="auto"/>
              <w:ind w:left="0" w:leftChars="0" w:right="0" w:rightChars="0" w:firstLine="0" w:firstLineChars="0"/>
              <w:jc w:val="left"/>
            </w:pPr>
            <w:r>
              <w:rPr>
                <w:rFonts w:hint="eastAsia"/>
              </w:rPr>
              <w:t>预测和趋势分析</w:t>
            </w:r>
          </w:p>
        </w:tc>
      </w:tr>
      <w:tr w14:paraId="3BAA8B23">
        <w:trPr>
          <w:trHeight w:val="0" w:hRule="atLeast"/>
          <w:jc w:val="center"/>
        </w:trPr>
        <w:tc>
          <w:tcPr>
            <w:tcW w:w="0" w:type="auto"/>
            <w:vAlign w:val="center"/>
          </w:tcPr>
          <w:p w14:paraId="22B5B5D6">
            <w:pPr>
              <w:pStyle w:val="24"/>
              <w:snapToGrid w:val="0"/>
              <w:spacing w:line="240" w:lineRule="auto"/>
              <w:ind w:left="0" w:leftChars="0" w:right="0" w:rightChars="0" w:firstLine="0" w:firstLineChars="0"/>
              <w:jc w:val="center"/>
            </w:pPr>
            <w:r>
              <w:rPr>
                <w:rFonts w:hint="eastAsia"/>
              </w:rPr>
              <w:t>运维工单</w:t>
            </w:r>
          </w:p>
        </w:tc>
        <w:tc>
          <w:tcPr>
            <w:tcW w:w="4206" w:type="dxa"/>
            <w:vAlign w:val="center"/>
          </w:tcPr>
          <w:p w14:paraId="469B798D">
            <w:pPr>
              <w:pStyle w:val="24"/>
              <w:snapToGrid w:val="0"/>
              <w:spacing w:line="240" w:lineRule="auto"/>
              <w:ind w:left="0" w:leftChars="0" w:right="0" w:rightChars="0" w:firstLine="0" w:firstLineChars="0"/>
              <w:jc w:val="left"/>
            </w:pPr>
            <w:r>
              <w:rPr>
                <w:rFonts w:hint="eastAsia"/>
              </w:rPr>
              <w:t>投诉、检修、治理记录</w:t>
            </w:r>
          </w:p>
        </w:tc>
        <w:tc>
          <w:tcPr>
            <w:tcW w:w="2754" w:type="dxa"/>
            <w:vAlign w:val="center"/>
          </w:tcPr>
          <w:p w14:paraId="0C69564F">
            <w:pPr>
              <w:pStyle w:val="24"/>
              <w:snapToGrid w:val="0"/>
              <w:spacing w:line="240" w:lineRule="auto"/>
              <w:ind w:left="0" w:leftChars="0" w:right="0" w:rightChars="0" w:firstLine="0" w:firstLineChars="0"/>
              <w:jc w:val="left"/>
            </w:pPr>
            <w:r>
              <w:rPr>
                <w:rFonts w:hint="eastAsia"/>
              </w:rPr>
              <w:t>标签校验和业务闭环</w:t>
            </w:r>
          </w:p>
        </w:tc>
      </w:tr>
      <w:tr w14:paraId="14B29D41">
        <w:trPr>
          <w:trHeight w:val="0" w:hRule="atLeast"/>
          <w:jc w:val="center"/>
        </w:trPr>
        <w:tc>
          <w:tcPr>
            <w:tcW w:w="1896" w:type="dxa"/>
            <w:vAlign w:val="center"/>
          </w:tcPr>
          <w:p w14:paraId="61F97B56">
            <w:pPr>
              <w:pStyle w:val="24"/>
              <w:snapToGrid w:val="0"/>
              <w:spacing w:line="240" w:lineRule="auto"/>
              <w:ind w:left="0" w:leftChars="0" w:right="0" w:rightChars="0" w:firstLine="0" w:firstLineChars="0"/>
              <w:jc w:val="center"/>
            </w:pPr>
            <w:r>
              <w:rPr>
                <w:rFonts w:hint="eastAsia"/>
              </w:rPr>
              <w:t>专家标注数据</w:t>
            </w:r>
          </w:p>
        </w:tc>
        <w:tc>
          <w:tcPr>
            <w:tcW w:w="4206" w:type="dxa"/>
            <w:vAlign w:val="center"/>
          </w:tcPr>
          <w:p w14:paraId="5DC2355E">
            <w:pPr>
              <w:pStyle w:val="24"/>
              <w:snapToGrid w:val="0"/>
              <w:spacing w:line="240" w:lineRule="auto"/>
              <w:ind w:left="0" w:leftChars="0" w:right="0" w:rightChars="0" w:firstLine="0" w:firstLineChars="0"/>
              <w:jc w:val="left"/>
            </w:pPr>
            <w:r>
              <w:rPr>
                <w:rFonts w:hint="eastAsia"/>
              </w:rPr>
              <w:t>事件类型、原因、风险等级、扰动来源</w:t>
            </w:r>
          </w:p>
        </w:tc>
        <w:tc>
          <w:tcPr>
            <w:tcW w:w="2754" w:type="dxa"/>
            <w:vAlign w:val="center"/>
          </w:tcPr>
          <w:p w14:paraId="68234D9E">
            <w:pPr>
              <w:pStyle w:val="24"/>
              <w:snapToGrid w:val="0"/>
              <w:spacing w:line="240" w:lineRule="auto"/>
              <w:ind w:left="0" w:leftChars="0" w:right="0" w:rightChars="0" w:firstLine="0" w:firstLineChars="0"/>
              <w:jc w:val="left"/>
            </w:pPr>
            <w:r>
              <w:rPr>
                <w:rFonts w:hint="eastAsia"/>
              </w:rPr>
              <w:t>监督学习训练</w:t>
            </w:r>
          </w:p>
        </w:tc>
      </w:tr>
      <w:bookmarkEnd w:id="47"/>
    </w:tbl>
    <w:p w14:paraId="61D77894">
      <w:pPr>
        <w:pStyle w:val="4"/>
        <w:widowControl/>
        <w:numPr>
          <w:ilvl w:val="0"/>
          <w:numId w:val="7"/>
        </w:numPr>
        <w:ind w:left="0" w:leftChars="0" w:firstLine="0" w:firstLineChars="0"/>
        <w:rPr>
          <w:b w:val="0"/>
          <w:bdr w:val="none" w:sz="0" w:space="0"/>
        </w:rPr>
      </w:pPr>
      <w:bookmarkStart w:id="48" w:name="X9b143a535a0767598cd53ac81e19d9028e9fb64"/>
      <w:r>
        <w:t>多终端采样规格与统一处理</w:t>
      </w:r>
    </w:p>
    <w:p w14:paraId="7E8A8340">
      <w:pPr>
        <w:pStyle w:val="3"/>
        <w:rPr>
          <w:rFonts w:ascii="Times New Roman" w:hAnsi="Times New Roman" w:eastAsia="宋体" w:cs="Times New Roman"/>
          <w:sz w:val="24"/>
          <w:szCs w:val="24"/>
        </w:rPr>
      </w:pPr>
      <w:r>
        <w:rPr>
          <w:rFonts w:ascii="Times New Roman" w:hAnsi="Times New Roman" w:eastAsia="宋体" w:cs="Times New Roman"/>
          <w:sz w:val="24"/>
          <w:szCs w:val="24"/>
        </w:rPr>
        <w:t>不同终端采样点数不同，平台和算法侧必须显式记录采样能力，不能默认所有波形均为同一规格。</w:t>
      </w:r>
    </w:p>
    <w:tbl>
      <w:tblPr>
        <w:tblStyle w:val="2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1"/>
        <w:gridCol w:w="1468"/>
        <w:gridCol w:w="6167"/>
      </w:tblGrid>
      <w:tr w14:paraId="375700A3">
        <w:trPr>
          <w:trHeight w:val="0" w:hRule="atLeast"/>
          <w:tblHeader/>
          <w:jc w:val="center"/>
        </w:trPr>
        <w:tc>
          <w:tcPr>
            <w:tcW w:w="0" w:type="auto"/>
            <w:vAlign w:val="center"/>
          </w:tcPr>
          <w:p w14:paraId="228F0FB8">
            <w:pPr>
              <w:pStyle w:val="24"/>
              <w:snapToGrid w:val="0"/>
              <w:spacing w:line="240" w:lineRule="auto"/>
              <w:ind w:left="0" w:leftChars="0" w:right="0" w:rightChars="0" w:firstLine="0" w:firstLineChars="0"/>
              <w:jc w:val="center"/>
              <w:rPr>
                <w:b/>
              </w:rPr>
            </w:pPr>
            <w:r>
              <w:rPr>
                <w:rFonts w:hint="eastAsia"/>
                <w:b/>
              </w:rPr>
              <w:t>终端类型</w:t>
            </w:r>
          </w:p>
        </w:tc>
        <w:tc>
          <w:tcPr>
            <w:tcW w:w="1468" w:type="dxa"/>
            <w:vAlign w:val="center"/>
          </w:tcPr>
          <w:p w14:paraId="636D05AC">
            <w:pPr>
              <w:pStyle w:val="24"/>
              <w:snapToGrid w:val="0"/>
              <w:spacing w:line="240" w:lineRule="auto"/>
              <w:ind w:left="0" w:leftChars="0" w:right="0" w:rightChars="0" w:firstLine="0" w:firstLineChars="0"/>
              <w:jc w:val="center"/>
              <w:rPr>
                <w:b/>
              </w:rPr>
            </w:pPr>
            <w:r>
              <w:rPr>
                <w:rFonts w:hint="eastAsia"/>
                <w:b/>
              </w:rPr>
              <w:t>点数/周波</w:t>
            </w:r>
          </w:p>
        </w:tc>
        <w:tc>
          <w:tcPr>
            <w:tcW w:w="6167" w:type="dxa"/>
            <w:vAlign w:val="center"/>
          </w:tcPr>
          <w:p w14:paraId="53517D8F">
            <w:pPr>
              <w:pStyle w:val="24"/>
              <w:snapToGrid w:val="0"/>
              <w:spacing w:line="240" w:lineRule="auto"/>
              <w:ind w:left="0" w:leftChars="0" w:right="0" w:rightChars="0" w:firstLine="0" w:firstLineChars="0"/>
              <w:jc w:val="center"/>
              <w:rPr>
                <w:b/>
              </w:rPr>
            </w:pPr>
            <w:r>
              <w:rPr>
                <w:rFonts w:hint="eastAsia"/>
                <w:b/>
              </w:rPr>
              <w:t>数据处理要求</w:t>
            </w:r>
          </w:p>
        </w:tc>
      </w:tr>
      <w:tr w14:paraId="0BAE61F9">
        <w:trPr>
          <w:trHeight w:val="0" w:hRule="atLeast"/>
          <w:jc w:val="center"/>
        </w:trPr>
        <w:tc>
          <w:tcPr>
            <w:tcW w:w="0" w:type="auto"/>
            <w:vAlign w:val="center"/>
          </w:tcPr>
          <w:p w14:paraId="5604C4A3">
            <w:pPr>
              <w:pStyle w:val="24"/>
              <w:snapToGrid w:val="0"/>
              <w:spacing w:line="240" w:lineRule="auto"/>
              <w:ind w:left="0" w:leftChars="0" w:right="0" w:rightChars="0" w:firstLine="0" w:firstLineChars="0"/>
              <w:jc w:val="center"/>
            </w:pPr>
            <w:r>
              <w:rPr>
                <w:rFonts w:hint="eastAsia"/>
              </w:rPr>
              <w:t>智能融合终端</w:t>
            </w:r>
          </w:p>
        </w:tc>
        <w:tc>
          <w:tcPr>
            <w:tcW w:w="1468" w:type="dxa"/>
            <w:vAlign w:val="center"/>
          </w:tcPr>
          <w:p w14:paraId="51C0337E">
            <w:pPr>
              <w:pStyle w:val="24"/>
              <w:snapToGrid w:val="0"/>
              <w:spacing w:line="240" w:lineRule="auto"/>
              <w:ind w:left="0" w:leftChars="0" w:right="0" w:rightChars="0" w:firstLine="0" w:firstLineChars="0"/>
              <w:jc w:val="center"/>
            </w:pPr>
            <w:r>
              <w:t>256</w:t>
            </w:r>
          </w:p>
        </w:tc>
        <w:tc>
          <w:tcPr>
            <w:tcW w:w="6167" w:type="dxa"/>
            <w:vAlign w:val="center"/>
          </w:tcPr>
          <w:p w14:paraId="53E43402">
            <w:pPr>
              <w:pStyle w:val="24"/>
              <w:snapToGrid w:val="0"/>
              <w:spacing w:line="240" w:lineRule="auto"/>
              <w:ind w:left="0" w:leftChars="0" w:right="0" w:rightChars="0" w:firstLine="0" w:firstLineChars="0"/>
              <w:jc w:val="left"/>
            </w:pPr>
            <w:r>
              <w:rPr>
                <w:rFonts w:hint="eastAsia"/>
              </w:rPr>
              <w:t>保留原始</w:t>
            </w:r>
            <w:r>
              <w:t xml:space="preserve"> 256 </w:t>
            </w:r>
            <w:r>
              <w:rPr>
                <w:rFonts w:hint="eastAsia"/>
              </w:rPr>
              <w:t>点波形；提取标准特征；必要时上采样到统一模型输入长度</w:t>
            </w:r>
          </w:p>
        </w:tc>
      </w:tr>
      <w:tr w14:paraId="23FA631F">
        <w:trPr>
          <w:trHeight w:val="0" w:hRule="atLeast"/>
          <w:jc w:val="center"/>
        </w:trPr>
        <w:tc>
          <w:tcPr>
            <w:tcW w:w="1221" w:type="dxa"/>
            <w:vAlign w:val="center"/>
          </w:tcPr>
          <w:p w14:paraId="44CEE106">
            <w:pPr>
              <w:pStyle w:val="24"/>
              <w:snapToGrid w:val="0"/>
              <w:spacing w:line="240" w:lineRule="auto"/>
              <w:ind w:left="0" w:leftChars="0" w:right="0" w:rightChars="0" w:firstLine="0" w:firstLineChars="0"/>
              <w:jc w:val="center"/>
            </w:pPr>
            <w:r>
              <w:rPr>
                <w:rFonts w:hint="eastAsia"/>
              </w:rPr>
              <w:t>专变/ECU</w:t>
            </w:r>
            <w:r>
              <w:t xml:space="preserve"> </w:t>
            </w:r>
            <w:r>
              <w:rPr>
                <w:rFonts w:hint="eastAsia"/>
              </w:rPr>
              <w:t>终端</w:t>
            </w:r>
          </w:p>
        </w:tc>
        <w:tc>
          <w:tcPr>
            <w:tcW w:w="1468" w:type="dxa"/>
            <w:vAlign w:val="center"/>
          </w:tcPr>
          <w:p w14:paraId="41735FC5">
            <w:pPr>
              <w:pStyle w:val="24"/>
              <w:snapToGrid w:val="0"/>
              <w:spacing w:line="240" w:lineRule="auto"/>
              <w:ind w:left="0" w:leftChars="0" w:right="0" w:rightChars="0" w:firstLine="0" w:firstLineChars="0"/>
              <w:jc w:val="center"/>
            </w:pPr>
            <w:r>
              <w:t>512</w:t>
            </w:r>
          </w:p>
        </w:tc>
        <w:tc>
          <w:tcPr>
            <w:tcW w:w="6167" w:type="dxa"/>
            <w:vAlign w:val="center"/>
          </w:tcPr>
          <w:p w14:paraId="20F02FB2">
            <w:pPr>
              <w:pStyle w:val="24"/>
              <w:snapToGrid w:val="0"/>
              <w:spacing w:line="240" w:lineRule="auto"/>
              <w:ind w:left="0" w:leftChars="0" w:right="0" w:rightChars="0" w:firstLine="0" w:firstLineChars="0"/>
              <w:jc w:val="left"/>
            </w:pPr>
            <w:r>
              <w:rPr>
                <w:rFonts w:hint="eastAsia"/>
              </w:rPr>
              <w:t>保留原始</w:t>
            </w:r>
            <w:r>
              <w:t xml:space="preserve"> 512 </w:t>
            </w:r>
            <w:r>
              <w:rPr>
                <w:rFonts w:hint="eastAsia"/>
              </w:rPr>
              <w:t>点波形；提取更细粒度暂态和谐波特征；结合专变用户侧设备状态量进行事件分析；可下采样生成与</w:t>
            </w:r>
            <w:r>
              <w:t xml:space="preserve"> 256 </w:t>
            </w:r>
            <w:r>
              <w:rPr>
                <w:rFonts w:hint="eastAsia"/>
              </w:rPr>
              <w:t>点兼容的特征</w:t>
            </w:r>
          </w:p>
        </w:tc>
      </w:tr>
    </w:tbl>
    <w:p w14:paraId="1078875F">
      <w:pPr>
        <w:pStyle w:val="3"/>
        <w:rPr>
          <w:rFonts w:ascii="Times New Roman" w:hAnsi="Times New Roman" w:eastAsia="宋体" w:cs="Times New Roman"/>
          <w:sz w:val="24"/>
          <w:szCs w:val="24"/>
        </w:rPr>
      </w:pPr>
      <w:r>
        <w:rPr>
          <w:rFonts w:ascii="Times New Roman" w:hAnsi="Times New Roman" w:eastAsia="宋体" w:cs="Times New Roman"/>
          <w:sz w:val="24"/>
          <w:szCs w:val="24"/>
        </w:rPr>
        <w:t>建议采用三种兼容策略：</w:t>
      </w:r>
    </w:p>
    <w:p w14:paraId="2A88C11F">
      <w:pPr>
        <w:pStyle w:val="3"/>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原始波形分库存储：256 点与 512 点原始波形均完整保存，避免训练和回放时丢失信息。</w:t>
      </w:r>
    </w:p>
    <w:p w14:paraId="21EDE01C">
      <w:pPr>
        <w:pStyle w:val="3"/>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统一特征层建模：对不同采样规格提取相同含义的 RMS、谐波、暂态能量、相位、冲击幅值等特征，模型优先使用统一特征。</w:t>
      </w:r>
    </w:p>
    <w:p w14:paraId="44563BE7">
      <w:pPr>
        <w:pStyle w:val="3"/>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分模型与融合模型并行：对采样敏感的波形分类任务，可分别训练 256 点模型和 512 点模型；对业务诊断任务，在训练平台侧融合不同终端输出。</w:t>
      </w:r>
    </w:p>
    <w:bookmarkEnd w:id="48"/>
    <w:p w14:paraId="74D1EEB6">
      <w:pPr>
        <w:pStyle w:val="4"/>
        <w:widowControl/>
        <w:numPr>
          <w:ilvl w:val="0"/>
          <w:numId w:val="7"/>
        </w:numPr>
        <w:ind w:left="0" w:leftChars="0" w:firstLine="0" w:firstLineChars="0"/>
        <w:rPr>
          <w:b w:val="0"/>
          <w:bdr w:val="none" w:sz="0" w:space="0"/>
        </w:rPr>
      </w:pPr>
      <w:bookmarkStart w:id="49" w:name="Xf50d3e06dc7cbd112dd1dc7f7d7e550938d0e42"/>
      <w:r>
        <w:t>数据采集与切片</w:t>
      </w:r>
    </w:p>
    <w:p w14:paraId="702F0E05">
      <w:pPr>
        <w:pStyle w:val="3"/>
        <w:widowControl/>
        <w:rPr>
          <w:rFonts w:ascii="Times New Roman" w:hAnsi="Times New Roman" w:eastAsia="宋体" w:cs="Times New Roman"/>
          <w:sz w:val="24"/>
          <w:szCs w:val="24"/>
        </w:rPr>
      </w:pPr>
      <w:bookmarkStart w:id="50" w:name="ux8fdeux7eedux6570ux636e"/>
      <w:r>
        <w:rPr>
          <w:rFonts w:ascii="Times New Roman" w:hAnsi="Times New Roman" w:eastAsia="宋体" w:cs="Times New Roman"/>
          <w:sz w:val="24"/>
          <w:szCs w:val="24"/>
        </w:rPr>
        <w:t>连续数据</w:t>
      </w:r>
    </w:p>
    <w:p w14:paraId="3C2D7DBE">
      <w:pPr>
        <w:pStyle w:val="3"/>
        <w:rPr>
          <w:rFonts w:ascii="Times New Roman" w:hAnsi="Times New Roman" w:eastAsia="宋体" w:cs="Times New Roman"/>
          <w:sz w:val="24"/>
          <w:szCs w:val="24"/>
        </w:rPr>
      </w:pPr>
      <w:r>
        <w:rPr>
          <w:rFonts w:ascii="Times New Roman" w:hAnsi="Times New Roman" w:eastAsia="宋体" w:cs="Times New Roman"/>
          <w:sz w:val="24"/>
          <w:szCs w:val="24"/>
        </w:rPr>
        <w:t>连续波形数据用于构建背景状态、长期趋势和模型训练样本。可按照固定时间窗口切片，例如：</w:t>
      </w:r>
    </w:p>
    <w:p w14:paraId="314187C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1 周波窗口：用于暂态特征、瞬时畸变识别；</w:t>
      </w:r>
    </w:p>
    <w:p w14:paraId="6ADD462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10 周波窗口：用于暂升、暂降、短时中断等事件分析；</w:t>
      </w:r>
    </w:p>
    <w:p w14:paraId="7242791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1 秒窗口：用于波动、冲击负荷识别；</w:t>
      </w:r>
    </w:p>
    <w:p w14:paraId="6DB3181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10 分钟窗口：用于电压偏差、谐波统计和合格率分析；</w:t>
      </w:r>
    </w:p>
    <w:p w14:paraId="1565BE0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日/月窗口：用于台区和专变用户画像与趋势报告。</w:t>
      </w:r>
    </w:p>
    <w:bookmarkEnd w:id="50"/>
    <w:p w14:paraId="30A2F483">
      <w:pPr>
        <w:pStyle w:val="3"/>
        <w:widowControl/>
        <w:rPr>
          <w:rFonts w:ascii="Times New Roman" w:hAnsi="Times New Roman" w:eastAsia="宋体" w:cs="Times New Roman"/>
          <w:sz w:val="24"/>
          <w:szCs w:val="24"/>
        </w:rPr>
      </w:pPr>
      <w:bookmarkStart w:id="51" w:name="ux4e8bux4ef6ux6570ux636e"/>
      <w:r>
        <w:rPr>
          <w:rFonts w:ascii="Times New Roman" w:hAnsi="Times New Roman" w:eastAsia="宋体" w:cs="Times New Roman"/>
          <w:sz w:val="24"/>
          <w:szCs w:val="24"/>
        </w:rPr>
        <w:t>事件数据</w:t>
      </w:r>
    </w:p>
    <w:p w14:paraId="41EB9311">
      <w:pPr>
        <w:pStyle w:val="3"/>
        <w:rPr>
          <w:rFonts w:ascii="Times New Roman" w:hAnsi="Times New Roman" w:eastAsia="宋体" w:cs="Times New Roman"/>
          <w:sz w:val="24"/>
          <w:szCs w:val="24"/>
        </w:rPr>
      </w:pPr>
      <w:r>
        <w:rPr>
          <w:rFonts w:ascii="Times New Roman" w:hAnsi="Times New Roman" w:eastAsia="宋体" w:cs="Times New Roman"/>
          <w:sz w:val="24"/>
          <w:szCs w:val="24"/>
        </w:rPr>
        <w:t>事件发生时应冻结事件前后波形片段，建议至少保留：</w:t>
      </w:r>
    </w:p>
    <w:p w14:paraId="77C3E8D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事件前 10 至 20 周波；</w:t>
      </w:r>
    </w:p>
    <w:p w14:paraId="6C9A243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事件持续期间完整波形；</w:t>
      </w:r>
    </w:p>
    <w:p w14:paraId="061692E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事件后 10 至 20 周波；</w:t>
      </w:r>
    </w:p>
    <w:p w14:paraId="6B8CBF1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事件关联的电参量和电能质量指标；</w:t>
      </w:r>
    </w:p>
    <w:p w14:paraId="72BBDCD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事件发生时的台区负荷、专变用户负荷、设备状态、相别、功率方向等上下文。</w:t>
      </w:r>
    </w:p>
    <w:bookmarkEnd w:id="49"/>
    <w:bookmarkEnd w:id="51"/>
    <w:p w14:paraId="17BAD819">
      <w:pPr>
        <w:pStyle w:val="4"/>
        <w:widowControl/>
        <w:numPr>
          <w:ilvl w:val="0"/>
          <w:numId w:val="7"/>
        </w:numPr>
        <w:ind w:left="0" w:leftChars="0" w:firstLine="0" w:firstLineChars="0"/>
        <w:rPr>
          <w:b w:val="0"/>
          <w:bdr w:val="none" w:sz="0" w:space="0"/>
        </w:rPr>
      </w:pPr>
      <w:bookmarkStart w:id="52" w:name="ux7279ux5f81ux63d0ux53d6"/>
      <w:r>
        <w:t>特征提取</w:t>
      </w:r>
    </w:p>
    <w:p w14:paraId="16837B21">
      <w:pPr>
        <w:pStyle w:val="3"/>
        <w:rPr>
          <w:rFonts w:ascii="Times New Roman" w:hAnsi="Times New Roman" w:eastAsia="宋体" w:cs="Times New Roman"/>
          <w:sz w:val="24"/>
          <w:szCs w:val="24"/>
        </w:rPr>
      </w:pPr>
      <w:r>
        <w:rPr>
          <w:rFonts w:ascii="Times New Roman" w:hAnsi="Times New Roman" w:eastAsia="宋体" w:cs="Times New Roman"/>
          <w:sz w:val="24"/>
          <w:szCs w:val="24"/>
        </w:rPr>
        <w:t>特征提取分为标准特征、波形特征、跨采样率特征、时序特征和业务特征。</w:t>
      </w:r>
    </w:p>
    <w:p w14:paraId="6F3F490D">
      <w:pPr>
        <w:pStyle w:val="3"/>
        <w:widowControl/>
        <w:rPr>
          <w:rFonts w:ascii="Times New Roman" w:hAnsi="Times New Roman" w:eastAsia="宋体" w:cs="Times New Roman"/>
          <w:sz w:val="24"/>
          <w:szCs w:val="24"/>
        </w:rPr>
      </w:pPr>
      <w:bookmarkStart w:id="53" w:name="ux6807ux51c6ux7279ux5f81"/>
      <w:r>
        <w:rPr>
          <w:rFonts w:ascii="Times New Roman" w:hAnsi="Times New Roman" w:eastAsia="宋体" w:cs="Times New Roman"/>
          <w:sz w:val="24"/>
          <w:szCs w:val="24"/>
        </w:rPr>
        <w:t>标准特征</w:t>
      </w:r>
    </w:p>
    <w:p w14:paraId="3092350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电压有效值；</w:t>
      </w:r>
    </w:p>
    <w:p w14:paraId="7BF5FBD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电流有效值；</w:t>
      </w:r>
    </w:p>
    <w:p w14:paraId="43A52D8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频率；</w:t>
      </w:r>
    </w:p>
    <w:p w14:paraId="32E049A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电压偏差；</w:t>
      </w:r>
    </w:p>
    <w:p w14:paraId="4C0AB9A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电压不平衡度；</w:t>
      </w:r>
    </w:p>
    <w:p w14:paraId="5667985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各次谐波含有率；</w:t>
      </w:r>
    </w:p>
    <w:p w14:paraId="376C349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总谐波畸变率；</w:t>
      </w:r>
    </w:p>
    <w:p w14:paraId="72CBB40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电压波动；</w:t>
      </w:r>
    </w:p>
    <w:p w14:paraId="1942FF5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短时闪变；</w:t>
      </w:r>
    </w:p>
    <w:p w14:paraId="5FE3829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长时闪变；</w:t>
      </w:r>
    </w:p>
    <w:p w14:paraId="4BA817A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暂升、暂降、中断持续时间和幅值。</w:t>
      </w:r>
    </w:p>
    <w:bookmarkEnd w:id="53"/>
    <w:p w14:paraId="76DB242C">
      <w:pPr>
        <w:pStyle w:val="3"/>
        <w:widowControl/>
        <w:rPr>
          <w:rFonts w:ascii="Times New Roman" w:hAnsi="Times New Roman" w:eastAsia="宋体" w:cs="Times New Roman"/>
          <w:sz w:val="24"/>
          <w:szCs w:val="24"/>
        </w:rPr>
      </w:pPr>
      <w:bookmarkStart w:id="54" w:name="ux6ce2ux5f62ux7279ux5f81"/>
      <w:r>
        <w:rPr>
          <w:rFonts w:ascii="Times New Roman" w:hAnsi="Times New Roman" w:eastAsia="宋体" w:cs="Times New Roman"/>
          <w:sz w:val="24"/>
          <w:szCs w:val="24"/>
        </w:rPr>
        <w:t>波形特征</w:t>
      </w:r>
    </w:p>
    <w:p w14:paraId="7C45625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峰值、谷值、峰峰值；</w:t>
      </w:r>
    </w:p>
    <w:p w14:paraId="4A9FC9A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波形畸变程度；</w:t>
      </w:r>
    </w:p>
    <w:p w14:paraId="41E42C1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瞬时斜率；</w:t>
      </w:r>
    </w:p>
    <w:p w14:paraId="76923E6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零交越变化；</w:t>
      </w:r>
    </w:p>
    <w:p w14:paraId="79ECD9D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周波间相似度；</w:t>
      </w:r>
    </w:p>
    <w:p w14:paraId="454FFB8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电压电流相位关系；</w:t>
      </w:r>
    </w:p>
    <w:p w14:paraId="7ED6D07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暂态冲击幅值；</w:t>
      </w:r>
    </w:p>
    <w:p w14:paraId="5F7312E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高频扰动能量。</w:t>
      </w:r>
    </w:p>
    <w:bookmarkEnd w:id="54"/>
    <w:p w14:paraId="4BF580C3">
      <w:pPr>
        <w:pStyle w:val="3"/>
        <w:widowControl/>
        <w:rPr>
          <w:rFonts w:ascii="Times New Roman" w:hAnsi="Times New Roman" w:eastAsia="宋体" w:cs="Times New Roman"/>
          <w:sz w:val="24"/>
          <w:szCs w:val="24"/>
        </w:rPr>
      </w:pPr>
      <w:bookmarkStart w:id="55" w:name="ux8de8ux91c7ux6837ux7387ux7279ux5f81"/>
      <w:r>
        <w:rPr>
          <w:rFonts w:ascii="Times New Roman" w:hAnsi="Times New Roman" w:eastAsia="宋体" w:cs="Times New Roman"/>
          <w:sz w:val="24"/>
          <w:szCs w:val="24"/>
        </w:rPr>
        <w:t>跨采样率特征</w:t>
      </w:r>
    </w:p>
    <w:p w14:paraId="0F0DE62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点数/周波；</w:t>
      </w:r>
    </w:p>
    <w:p w14:paraId="3E90A52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采样率；</w:t>
      </w:r>
    </w:p>
    <w:p w14:paraId="1D31196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归一化周波波形；</w:t>
      </w:r>
    </w:p>
    <w:p w14:paraId="086D1B3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256 点与 512 点兼容特征；</w:t>
      </w:r>
    </w:p>
    <w:p w14:paraId="7926092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下采样后关键特征保持率；</w:t>
      </w:r>
    </w:p>
    <w:p w14:paraId="77FBB09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上采样后波形相似度；</w:t>
      </w:r>
    </w:p>
    <w:p w14:paraId="5D6D7A1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不同终端同一事件的时间偏移；</w:t>
      </w:r>
    </w:p>
    <w:p w14:paraId="5F1A981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跨终端事件相关系数。</w:t>
      </w:r>
    </w:p>
    <w:bookmarkEnd w:id="55"/>
    <w:p w14:paraId="799F8FDA">
      <w:pPr>
        <w:pStyle w:val="3"/>
        <w:widowControl/>
        <w:rPr>
          <w:rFonts w:ascii="Times New Roman" w:hAnsi="Times New Roman" w:eastAsia="宋体" w:cs="Times New Roman"/>
          <w:sz w:val="24"/>
          <w:szCs w:val="24"/>
        </w:rPr>
      </w:pPr>
      <w:bookmarkStart w:id="56" w:name="ux65f6ux5e8fux7279ux5f81"/>
      <w:r>
        <w:rPr>
          <w:rFonts w:ascii="Times New Roman" w:hAnsi="Times New Roman" w:eastAsia="宋体" w:cs="Times New Roman"/>
          <w:sz w:val="24"/>
          <w:szCs w:val="24"/>
        </w:rPr>
        <w:t>时序特征</w:t>
      </w:r>
    </w:p>
    <w:p w14:paraId="0CAAAD1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日内周期；</w:t>
      </w:r>
    </w:p>
    <w:p w14:paraId="1422DD9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工作日和节假日差异；</w:t>
      </w:r>
    </w:p>
    <w:p w14:paraId="35C0509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季节性变化；</w:t>
      </w:r>
    </w:p>
    <w:p w14:paraId="3C6E553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趋势斜率；</w:t>
      </w:r>
    </w:p>
    <w:p w14:paraId="0B28DCF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异常发生频次；</w:t>
      </w:r>
    </w:p>
    <w:p w14:paraId="4BF856C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连续越限时长；</w:t>
      </w:r>
    </w:p>
    <w:p w14:paraId="15AD95C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同类事件间隔。</w:t>
      </w:r>
    </w:p>
    <w:bookmarkEnd w:id="56"/>
    <w:p w14:paraId="46064B85">
      <w:pPr>
        <w:pStyle w:val="3"/>
        <w:widowControl/>
        <w:rPr>
          <w:rFonts w:ascii="Times New Roman" w:hAnsi="Times New Roman" w:eastAsia="宋体" w:cs="Times New Roman"/>
          <w:sz w:val="24"/>
          <w:szCs w:val="24"/>
        </w:rPr>
      </w:pPr>
      <w:bookmarkStart w:id="57" w:name="ux4e1aux52a1ux7279ux5f81"/>
      <w:r>
        <w:rPr>
          <w:rFonts w:ascii="Times New Roman" w:hAnsi="Times New Roman" w:eastAsia="宋体" w:cs="Times New Roman"/>
          <w:sz w:val="24"/>
          <w:szCs w:val="24"/>
        </w:rPr>
        <w:t>业务特征</w:t>
      </w:r>
    </w:p>
    <w:p w14:paraId="248174C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台区容量；</w:t>
      </w:r>
    </w:p>
    <w:p w14:paraId="30D8CF6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专变容量；</w:t>
      </w:r>
    </w:p>
    <w:p w14:paraId="5B2DC24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负载率；</w:t>
      </w:r>
    </w:p>
    <w:p w14:paraId="1943350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用户类型；</w:t>
      </w:r>
    </w:p>
    <w:p w14:paraId="0E09BA3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重要设备类型；</w:t>
      </w:r>
    </w:p>
    <w:p w14:paraId="361EB92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专变设备状态；</w:t>
      </w:r>
    </w:p>
    <w:p w14:paraId="7EFF40B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光伏接入容量；</w:t>
      </w:r>
    </w:p>
    <w:p w14:paraId="0DAE294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充电桩接入情况；</w:t>
      </w:r>
    </w:p>
    <w:p w14:paraId="0FDDA51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历史投诉；</w:t>
      </w:r>
    </w:p>
    <w:p w14:paraId="5D9D2AA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检修记录；</w:t>
      </w:r>
    </w:p>
    <w:p w14:paraId="7C01E85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治理措施记录。</w:t>
      </w:r>
    </w:p>
    <w:bookmarkEnd w:id="52"/>
    <w:bookmarkEnd w:id="57"/>
    <w:p w14:paraId="2BE8B7D4">
      <w:pPr>
        <w:pStyle w:val="4"/>
        <w:widowControl/>
        <w:numPr>
          <w:ilvl w:val="0"/>
          <w:numId w:val="7"/>
        </w:numPr>
        <w:ind w:left="0" w:leftChars="0" w:firstLine="0" w:firstLineChars="0"/>
        <w:rPr>
          <w:b w:val="0"/>
          <w:bdr w:val="none" w:sz="0" w:space="0"/>
        </w:rPr>
      </w:pPr>
      <w:bookmarkStart w:id="58" w:name="ux6570ux636eux6807ux6ce8ux4f53ux7cfb"/>
      <w:r>
        <w:t>数据标注体系</w:t>
      </w:r>
    </w:p>
    <w:p w14:paraId="528C470B">
      <w:pPr>
        <w:pStyle w:val="3"/>
        <w:rPr>
          <w:rFonts w:ascii="Times New Roman" w:hAnsi="Times New Roman" w:eastAsia="宋体" w:cs="Times New Roman"/>
          <w:sz w:val="24"/>
          <w:szCs w:val="24"/>
        </w:rPr>
      </w:pPr>
      <w:r>
        <w:rPr>
          <w:rFonts w:ascii="Times New Roman" w:hAnsi="Times New Roman" w:eastAsia="宋体" w:cs="Times New Roman"/>
          <w:sz w:val="24"/>
          <w:szCs w:val="24"/>
        </w:rPr>
        <w:t>建议建立统一的标签体系，至少包括四类标签。</w:t>
      </w:r>
    </w:p>
    <w:p w14:paraId="5028FC90">
      <w:pPr>
        <w:pStyle w:val="3"/>
        <w:widowControl/>
        <w:rPr>
          <w:rFonts w:ascii="Times New Roman" w:hAnsi="Times New Roman" w:eastAsia="宋体" w:cs="Times New Roman"/>
          <w:sz w:val="24"/>
          <w:szCs w:val="24"/>
        </w:rPr>
      </w:pPr>
      <w:bookmarkStart w:id="59" w:name="ux4e8bux4ef6ux7c7bux578bux6807ux7b7e"/>
      <w:r>
        <w:rPr>
          <w:rFonts w:ascii="Times New Roman" w:hAnsi="Times New Roman" w:eastAsia="宋体" w:cs="Times New Roman"/>
          <w:sz w:val="24"/>
          <w:szCs w:val="24"/>
        </w:rPr>
        <w:t>事件类型标签</w:t>
      </w:r>
    </w:p>
    <w:p w14:paraId="08C5CA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正常；</w:t>
      </w:r>
    </w:p>
    <w:p w14:paraId="25B4501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电压偏高；</w:t>
      </w:r>
    </w:p>
    <w:p w14:paraId="610A4C2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电压偏低；</w:t>
      </w:r>
    </w:p>
    <w:p w14:paraId="49A1E85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电压波动；</w:t>
      </w:r>
    </w:p>
    <w:p w14:paraId="29B46A4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三相不平衡；</w:t>
      </w:r>
    </w:p>
    <w:p w14:paraId="324135D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谐波异常；</w:t>
      </w:r>
    </w:p>
    <w:p w14:paraId="7A2A6FB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频率异常；</w:t>
      </w:r>
    </w:p>
    <w:p w14:paraId="5B55D36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暂升；</w:t>
      </w:r>
    </w:p>
    <w:p w14:paraId="7C9E259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暂降；</w:t>
      </w:r>
    </w:p>
    <w:p w14:paraId="405AB74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短时中断；</w:t>
      </w:r>
    </w:p>
    <w:p w14:paraId="7887D29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冲击负荷；</w:t>
      </w:r>
    </w:p>
    <w:p w14:paraId="11AB5F9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光伏影响；</w:t>
      </w:r>
    </w:p>
    <w:p w14:paraId="3129317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充电桩影响；</w:t>
      </w:r>
    </w:p>
    <w:p w14:paraId="047EF25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疑似设备隐患；</w:t>
      </w:r>
    </w:p>
    <w:p w14:paraId="6289714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专变用户冲击负荷；</w:t>
      </w:r>
    </w:p>
    <w:p w14:paraId="66E1AD0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跨终端关联事件；</w:t>
      </w:r>
    </w:p>
    <w:p w14:paraId="5DDB99D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其他。</w:t>
      </w:r>
    </w:p>
    <w:bookmarkEnd w:id="59"/>
    <w:p w14:paraId="28CF2708">
      <w:pPr>
        <w:pStyle w:val="3"/>
        <w:widowControl/>
        <w:rPr>
          <w:rFonts w:ascii="Times New Roman" w:hAnsi="Times New Roman" w:eastAsia="宋体" w:cs="Times New Roman"/>
          <w:sz w:val="24"/>
          <w:szCs w:val="24"/>
        </w:rPr>
      </w:pPr>
      <w:bookmarkStart w:id="60" w:name="ux6270ux52a8ux6765ux6e90ux6807ux7b7e"/>
      <w:r>
        <w:rPr>
          <w:rFonts w:ascii="Times New Roman" w:hAnsi="Times New Roman" w:eastAsia="宋体" w:cs="Times New Roman"/>
          <w:sz w:val="24"/>
          <w:szCs w:val="24"/>
        </w:rPr>
        <w:t>扰动来源标签</w:t>
      </w:r>
    </w:p>
    <w:p w14:paraId="401ECBA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用户侧；</w:t>
      </w:r>
    </w:p>
    <w:p w14:paraId="42872BE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台区低压侧；</w:t>
      </w:r>
    </w:p>
    <w:p w14:paraId="416592B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专变用户侧；</w:t>
      </w:r>
    </w:p>
    <w:p w14:paraId="7BA0248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上级电网侧；</w:t>
      </w:r>
    </w:p>
    <w:p w14:paraId="2332BF4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新能源接入；</w:t>
      </w:r>
    </w:p>
    <w:p w14:paraId="644655F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充电负荷；</w:t>
      </w:r>
    </w:p>
    <w:p w14:paraId="6613CC3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暂无法判断。</w:t>
      </w:r>
    </w:p>
    <w:bookmarkEnd w:id="60"/>
    <w:p w14:paraId="28EFA5A5">
      <w:pPr>
        <w:pStyle w:val="3"/>
        <w:widowControl/>
        <w:rPr>
          <w:rFonts w:ascii="Times New Roman" w:hAnsi="Times New Roman" w:eastAsia="宋体" w:cs="Times New Roman"/>
          <w:sz w:val="24"/>
          <w:szCs w:val="24"/>
        </w:rPr>
      </w:pPr>
      <w:bookmarkStart w:id="61" w:name="ux98ceux9669ux7b49ux7ea7ux6807ux7b7e"/>
      <w:r>
        <w:rPr>
          <w:rFonts w:ascii="Times New Roman" w:hAnsi="Times New Roman" w:eastAsia="宋体" w:cs="Times New Roman"/>
          <w:sz w:val="24"/>
          <w:szCs w:val="24"/>
        </w:rPr>
        <w:t>风险等级标签</w:t>
      </w:r>
    </w:p>
    <w:p w14:paraId="36C72A7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低风险；</w:t>
      </w:r>
    </w:p>
    <w:p w14:paraId="2B6151E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中风险；</w:t>
      </w:r>
    </w:p>
    <w:p w14:paraId="0F51EF2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高风险；</w:t>
      </w:r>
    </w:p>
    <w:p w14:paraId="486051D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紧急风险。</w:t>
      </w:r>
    </w:p>
    <w:bookmarkEnd w:id="61"/>
    <w:p w14:paraId="5DA4B512">
      <w:pPr>
        <w:pStyle w:val="3"/>
        <w:widowControl/>
        <w:rPr>
          <w:rFonts w:ascii="Times New Roman" w:hAnsi="Times New Roman" w:eastAsia="宋体" w:cs="Times New Roman"/>
          <w:sz w:val="24"/>
          <w:szCs w:val="24"/>
        </w:rPr>
      </w:pPr>
      <w:bookmarkStart w:id="62" w:name="ux6cbbux7406ux5efaux8baeux6807ux7b7e"/>
      <w:r>
        <w:rPr>
          <w:rFonts w:ascii="Times New Roman" w:hAnsi="Times New Roman" w:eastAsia="宋体" w:cs="Times New Roman"/>
          <w:sz w:val="24"/>
          <w:szCs w:val="24"/>
        </w:rPr>
        <w:t>治理建议标签</w:t>
      </w:r>
    </w:p>
    <w:p w14:paraId="19061DC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调整三相负荷；</w:t>
      </w:r>
    </w:p>
    <w:p w14:paraId="25AD094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检查线路接头；</w:t>
      </w:r>
    </w:p>
    <w:p w14:paraId="32BE917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检查零线或中性线；</w:t>
      </w:r>
    </w:p>
    <w:p w14:paraId="6918BCA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检查变压器负载；</w:t>
      </w:r>
    </w:p>
    <w:p w14:paraId="5E6952C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检查无功补偿装置；</w:t>
      </w:r>
    </w:p>
    <w:p w14:paraId="38AEE88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排查谐波源；</w:t>
      </w:r>
    </w:p>
    <w:p w14:paraId="5382DB0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优化光伏并网策略；</w:t>
      </w:r>
    </w:p>
    <w:p w14:paraId="0486421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优化充电负荷时段；</w:t>
      </w:r>
    </w:p>
    <w:p w14:paraId="6411033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增容改造；</w:t>
      </w:r>
    </w:p>
    <w:p w14:paraId="1859BB6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持续观察。</w:t>
      </w:r>
    </w:p>
    <w:bookmarkEnd w:id="58"/>
    <w:bookmarkEnd w:id="62"/>
    <w:p w14:paraId="3609A300">
      <w:pPr>
        <w:pStyle w:val="4"/>
        <w:widowControl/>
        <w:numPr>
          <w:ilvl w:val="0"/>
          <w:numId w:val="7"/>
        </w:numPr>
        <w:ind w:left="0" w:leftChars="0" w:firstLine="0" w:firstLineChars="0"/>
        <w:rPr>
          <w:b w:val="0"/>
          <w:bdr w:val="none" w:sz="0" w:space="0"/>
        </w:rPr>
      </w:pPr>
      <w:bookmarkStart w:id="63" w:name="ux6570ux636eux8d28ux91cfux8981ux6c42"/>
      <w:r>
        <w:t>数据质量要求</w:t>
      </w:r>
    </w:p>
    <w:p w14:paraId="525A4BCE">
      <w:pPr>
        <w:pStyle w:val="3"/>
        <w:rPr>
          <w:rFonts w:ascii="Times New Roman" w:hAnsi="Times New Roman" w:eastAsia="宋体" w:cs="Times New Roman"/>
          <w:sz w:val="24"/>
          <w:szCs w:val="24"/>
        </w:rPr>
      </w:pPr>
      <w:r>
        <w:rPr>
          <w:rFonts w:ascii="Times New Roman" w:hAnsi="Times New Roman" w:eastAsia="宋体" w:cs="Times New Roman"/>
          <w:sz w:val="24"/>
          <w:szCs w:val="24"/>
        </w:rPr>
        <w:t>数据进入训练库前应进行质量校验：</w:t>
      </w:r>
    </w:p>
    <w:p w14:paraId="5B067B5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时间戳准确；</w:t>
      </w:r>
    </w:p>
    <w:p w14:paraId="6535DEB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采样率和点数/周波记录准确；</w:t>
      </w:r>
    </w:p>
    <w:p w14:paraId="4C6A4C0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256 点/周波与 512 点/周波样本来源清晰；</w:t>
      </w:r>
    </w:p>
    <w:p w14:paraId="4D67EEA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三相数据完整；</w:t>
      </w:r>
    </w:p>
    <w:p w14:paraId="20CE8EA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电压电流通道对应关系正确；</w:t>
      </w:r>
    </w:p>
    <w:p w14:paraId="645C09A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专变用户侧设备状态量与波形时间对齐；</w:t>
      </w:r>
    </w:p>
    <w:p w14:paraId="784750D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缺失数据可识别；</w:t>
      </w:r>
    </w:p>
    <w:p w14:paraId="025484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异常尖峰可区分为真实事件或采集噪声；</w:t>
      </w:r>
    </w:p>
    <w:p w14:paraId="6F09F4C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终端版本、算法版本和参数配置可追溯；</w:t>
      </w:r>
    </w:p>
    <w:p w14:paraId="4F5638B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样本标签来源可追溯。</w:t>
      </w:r>
    </w:p>
    <w:bookmarkEnd w:id="46"/>
    <w:bookmarkEnd w:id="63"/>
    <w:p w14:paraId="490F617E">
      <w:pPr>
        <w:pStyle w:val="2"/>
        <w:widowControl/>
        <w:numPr>
          <w:ilvl w:val="0"/>
          <w:numId w:val="1"/>
        </w:numPr>
        <w:ind w:left="0" w:leftChars="0" w:firstLine="0" w:firstLineChars="0"/>
        <w:rPr>
          <w:b w:val="0"/>
          <w:bdr w:val="none" w:sz="0" w:space="0"/>
        </w:rPr>
      </w:pPr>
      <w:bookmarkStart w:id="64" w:name="X6ddef79d5acae12bccbfb69dbaa1084c645f6fd"/>
      <w:r>
        <w:t>模型训练与分工方案</w:t>
      </w:r>
    </w:p>
    <w:p w14:paraId="5A5268F1">
      <w:pPr>
        <w:pStyle w:val="4"/>
        <w:widowControl/>
        <w:numPr>
          <w:ilvl w:val="0"/>
          <w:numId w:val="9"/>
        </w:numPr>
        <w:ind w:left="0" w:leftChars="0" w:firstLine="0" w:firstLineChars="0"/>
        <w:rPr>
          <w:b w:val="0"/>
          <w:bdr w:val="none" w:sz="0" w:space="0"/>
        </w:rPr>
      </w:pPr>
      <w:bookmarkStart w:id="65" w:name="ux6a21ux578bux4f53ux7cfb"/>
      <w:r>
        <w:t>模型体系</w:t>
      </w:r>
    </w:p>
    <w:p w14:paraId="49C0C407">
      <w:pPr>
        <w:pStyle w:val="3"/>
        <w:rPr>
          <w:rFonts w:ascii="Times New Roman" w:hAnsi="Times New Roman" w:eastAsia="宋体" w:cs="Times New Roman"/>
          <w:sz w:val="24"/>
          <w:szCs w:val="24"/>
        </w:rPr>
      </w:pPr>
      <w:r>
        <w:rPr>
          <w:rFonts w:ascii="Times New Roman" w:hAnsi="Times New Roman" w:eastAsia="宋体" w:cs="Times New Roman"/>
          <w:sz w:val="24"/>
          <w:szCs w:val="24"/>
        </w:rPr>
        <w:t>建议采用“规则算法 + 机器学习模型 + 大模型”的组合架构。</w:t>
      </w:r>
    </w:p>
    <w:tbl>
      <w:tblPr>
        <w:tblStyle w:val="2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3360"/>
        <w:gridCol w:w="3665"/>
      </w:tblGrid>
      <w:tr w14:paraId="04001D11">
        <w:trPr>
          <w:trHeight w:val="0" w:hRule="atLeast"/>
          <w:tblHeader/>
          <w:jc w:val="center"/>
        </w:trPr>
        <w:tc>
          <w:tcPr>
            <w:tcW w:w="1831" w:type="dxa"/>
            <w:vAlign w:val="center"/>
          </w:tcPr>
          <w:p w14:paraId="27331EB6">
            <w:pPr>
              <w:pStyle w:val="24"/>
              <w:keepNext/>
              <w:snapToGrid w:val="0"/>
              <w:spacing w:line="240" w:lineRule="auto"/>
              <w:ind w:left="0" w:leftChars="0" w:right="0" w:rightChars="0" w:firstLine="0" w:firstLineChars="0"/>
              <w:jc w:val="center"/>
              <w:rPr>
                <w:b/>
              </w:rPr>
            </w:pPr>
            <w:r>
              <w:rPr>
                <w:rFonts w:hint="eastAsia"/>
                <w:b/>
              </w:rPr>
              <w:t>层级</w:t>
            </w:r>
          </w:p>
        </w:tc>
        <w:tc>
          <w:tcPr>
            <w:tcW w:w="3360" w:type="dxa"/>
            <w:vAlign w:val="center"/>
          </w:tcPr>
          <w:p w14:paraId="7F962BAB">
            <w:pPr>
              <w:pStyle w:val="24"/>
              <w:keepNext/>
              <w:snapToGrid w:val="0"/>
              <w:spacing w:line="240" w:lineRule="auto"/>
              <w:ind w:left="0" w:leftChars="0" w:right="0" w:rightChars="0" w:firstLine="0" w:firstLineChars="0"/>
              <w:jc w:val="center"/>
              <w:rPr>
                <w:b/>
              </w:rPr>
            </w:pPr>
            <w:r>
              <w:rPr>
                <w:rFonts w:hint="eastAsia"/>
                <w:b/>
              </w:rPr>
              <w:t>主要方法</w:t>
            </w:r>
          </w:p>
        </w:tc>
        <w:tc>
          <w:tcPr>
            <w:tcW w:w="3665" w:type="dxa"/>
            <w:vAlign w:val="center"/>
          </w:tcPr>
          <w:p w14:paraId="573DF6B5">
            <w:pPr>
              <w:pStyle w:val="24"/>
              <w:keepNext/>
              <w:snapToGrid w:val="0"/>
              <w:spacing w:line="240" w:lineRule="auto"/>
              <w:ind w:left="0" w:leftChars="0" w:right="0" w:rightChars="0" w:firstLine="0" w:firstLineChars="0"/>
              <w:jc w:val="center"/>
              <w:rPr>
                <w:b/>
              </w:rPr>
            </w:pPr>
            <w:r>
              <w:rPr>
                <w:rFonts w:hint="eastAsia"/>
                <w:b/>
              </w:rPr>
              <w:t>作用</w:t>
            </w:r>
          </w:p>
        </w:tc>
      </w:tr>
      <w:tr w14:paraId="723357A3">
        <w:trPr>
          <w:trHeight w:val="0" w:hRule="atLeast"/>
          <w:jc w:val="center"/>
        </w:trPr>
        <w:tc>
          <w:tcPr>
            <w:tcW w:w="1831" w:type="dxa"/>
            <w:vAlign w:val="center"/>
          </w:tcPr>
          <w:p w14:paraId="1D46A79F">
            <w:pPr>
              <w:pStyle w:val="24"/>
              <w:keepNext/>
              <w:snapToGrid w:val="0"/>
              <w:spacing w:line="240" w:lineRule="auto"/>
              <w:ind w:left="0" w:leftChars="0" w:right="0" w:rightChars="0" w:firstLine="0" w:firstLineChars="0"/>
              <w:jc w:val="center"/>
            </w:pPr>
            <w:r>
              <w:rPr>
                <w:rFonts w:hint="eastAsia"/>
              </w:rPr>
              <w:t>标准算法层</w:t>
            </w:r>
          </w:p>
        </w:tc>
        <w:tc>
          <w:tcPr>
            <w:tcW w:w="3360" w:type="dxa"/>
            <w:vAlign w:val="center"/>
          </w:tcPr>
          <w:p w14:paraId="4C6A8D99">
            <w:pPr>
              <w:pStyle w:val="24"/>
              <w:keepNext/>
              <w:snapToGrid w:val="0"/>
              <w:spacing w:line="240" w:lineRule="auto"/>
              <w:ind w:left="0" w:leftChars="0" w:right="0" w:rightChars="0" w:firstLine="0" w:firstLineChars="0"/>
              <w:jc w:val="left"/>
            </w:pPr>
            <w:r>
              <w:rPr>
                <w:rFonts w:hint="eastAsia"/>
              </w:rPr>
              <w:t>电能质量标准计算、阈值判断</w:t>
            </w:r>
          </w:p>
        </w:tc>
        <w:tc>
          <w:tcPr>
            <w:tcW w:w="3665" w:type="dxa"/>
            <w:vAlign w:val="center"/>
          </w:tcPr>
          <w:p w14:paraId="4EC8C1D7">
            <w:pPr>
              <w:pStyle w:val="24"/>
              <w:keepNext/>
              <w:snapToGrid w:val="0"/>
              <w:spacing w:line="240" w:lineRule="auto"/>
              <w:ind w:left="0" w:leftChars="0" w:right="0" w:rightChars="0" w:firstLine="0" w:firstLineChars="0"/>
              <w:jc w:val="left"/>
            </w:pPr>
            <w:r>
              <w:rPr>
                <w:rFonts w:hint="eastAsia"/>
              </w:rPr>
              <w:t>生成基础指标和确定性事件</w:t>
            </w:r>
          </w:p>
        </w:tc>
      </w:tr>
      <w:tr w14:paraId="7584C08C">
        <w:trPr>
          <w:trHeight w:val="0" w:hRule="atLeast"/>
          <w:jc w:val="center"/>
        </w:trPr>
        <w:tc>
          <w:tcPr>
            <w:tcW w:w="1831" w:type="dxa"/>
            <w:vAlign w:val="center"/>
          </w:tcPr>
          <w:p w14:paraId="23B9B9C0">
            <w:pPr>
              <w:pStyle w:val="24"/>
              <w:keepNext/>
              <w:snapToGrid w:val="0"/>
              <w:spacing w:line="240" w:lineRule="auto"/>
              <w:ind w:left="0" w:leftChars="0" w:right="0" w:rightChars="0" w:firstLine="0" w:firstLineChars="0"/>
              <w:jc w:val="center"/>
            </w:pPr>
            <w:r>
              <w:rPr>
                <w:rFonts w:hint="eastAsia"/>
              </w:rPr>
              <w:t>终端适配层</w:t>
            </w:r>
          </w:p>
        </w:tc>
        <w:tc>
          <w:tcPr>
            <w:tcW w:w="3360" w:type="dxa"/>
            <w:vAlign w:val="center"/>
          </w:tcPr>
          <w:p w14:paraId="15FF64A5">
            <w:pPr>
              <w:pStyle w:val="24"/>
              <w:keepNext/>
              <w:snapToGrid w:val="0"/>
              <w:spacing w:line="240" w:lineRule="auto"/>
              <w:ind w:left="0" w:leftChars="0" w:right="0" w:rightChars="0" w:firstLine="0" w:firstLineChars="0"/>
              <w:jc w:val="left"/>
            </w:pPr>
            <w:r>
              <w:rPr>
                <w:rFonts w:hint="eastAsia"/>
              </w:rPr>
              <w:t>采样率识别、点数/周波识别、通道映射、特征归一化</w:t>
            </w:r>
          </w:p>
        </w:tc>
        <w:tc>
          <w:tcPr>
            <w:tcW w:w="3665" w:type="dxa"/>
            <w:vAlign w:val="center"/>
          </w:tcPr>
          <w:p w14:paraId="6D129EA0">
            <w:pPr>
              <w:pStyle w:val="24"/>
              <w:keepNext/>
              <w:snapToGrid w:val="0"/>
              <w:spacing w:line="240" w:lineRule="auto"/>
              <w:ind w:left="0" w:leftChars="0" w:right="0" w:rightChars="0" w:firstLine="0" w:firstLineChars="0"/>
              <w:jc w:val="left"/>
            </w:pPr>
            <w:r>
              <w:rPr>
                <w:rFonts w:hint="eastAsia"/>
              </w:rPr>
              <w:t>兼容智能融合终端</w:t>
            </w:r>
            <w:r>
              <w:t xml:space="preserve"> 256 </w:t>
            </w:r>
            <w:r>
              <w:rPr>
                <w:rFonts w:hint="eastAsia"/>
              </w:rPr>
              <w:t>点/周波与专变/ECU</w:t>
            </w:r>
            <w:r>
              <w:t xml:space="preserve"> </w:t>
            </w:r>
            <w:r>
              <w:rPr>
                <w:rFonts w:hint="eastAsia"/>
              </w:rPr>
              <w:t>终端</w:t>
            </w:r>
            <w:r>
              <w:t xml:space="preserve"> 512 </w:t>
            </w:r>
            <w:r>
              <w:rPr>
                <w:rFonts w:hint="eastAsia"/>
              </w:rPr>
              <w:t>点/周波数据</w:t>
            </w:r>
          </w:p>
        </w:tc>
      </w:tr>
      <w:tr w14:paraId="0C04C253">
        <w:trPr>
          <w:trHeight w:val="0" w:hRule="atLeast"/>
          <w:jc w:val="center"/>
        </w:trPr>
        <w:tc>
          <w:tcPr>
            <w:tcW w:w="1831" w:type="dxa"/>
            <w:vAlign w:val="center"/>
          </w:tcPr>
          <w:p w14:paraId="494D6094">
            <w:pPr>
              <w:pStyle w:val="24"/>
              <w:keepNext/>
              <w:snapToGrid w:val="0"/>
              <w:spacing w:line="240" w:lineRule="auto"/>
              <w:ind w:left="0" w:leftChars="0" w:right="0" w:rightChars="0" w:firstLine="0" w:firstLineChars="0"/>
              <w:jc w:val="center"/>
            </w:pPr>
            <w:r>
              <w:rPr>
                <w:rFonts w:hint="eastAsia"/>
              </w:rPr>
              <w:t>特征模型层</w:t>
            </w:r>
          </w:p>
        </w:tc>
        <w:tc>
          <w:tcPr>
            <w:tcW w:w="3360" w:type="dxa"/>
            <w:vAlign w:val="center"/>
          </w:tcPr>
          <w:p w14:paraId="521E3252">
            <w:pPr>
              <w:pStyle w:val="24"/>
              <w:keepNext/>
              <w:snapToGrid w:val="0"/>
              <w:spacing w:line="240" w:lineRule="auto"/>
              <w:ind w:left="0" w:leftChars="0" w:right="0" w:rightChars="0" w:firstLine="0" w:firstLineChars="0"/>
              <w:jc w:val="left"/>
            </w:pPr>
            <w:r>
              <w:rPr>
                <w:rFonts w:hint="eastAsia"/>
              </w:rPr>
              <w:t>传统机器学习、时序模型、波形分类模型</w:t>
            </w:r>
          </w:p>
        </w:tc>
        <w:tc>
          <w:tcPr>
            <w:tcW w:w="3665" w:type="dxa"/>
            <w:vAlign w:val="center"/>
          </w:tcPr>
          <w:p w14:paraId="11B61876">
            <w:pPr>
              <w:pStyle w:val="24"/>
              <w:keepNext/>
              <w:snapToGrid w:val="0"/>
              <w:spacing w:line="240" w:lineRule="auto"/>
              <w:ind w:left="0" w:leftChars="0" w:right="0" w:rightChars="0" w:firstLine="0" w:firstLineChars="0"/>
              <w:jc w:val="left"/>
            </w:pPr>
            <w:r>
              <w:rPr>
                <w:rFonts w:hint="eastAsia"/>
              </w:rPr>
              <w:t>事件分类、异常识别、风险预测</w:t>
            </w:r>
          </w:p>
        </w:tc>
      </w:tr>
      <w:tr w14:paraId="19DD899A">
        <w:trPr>
          <w:trHeight w:val="0" w:hRule="atLeast"/>
          <w:jc w:val="center"/>
        </w:trPr>
        <w:tc>
          <w:tcPr>
            <w:tcW w:w="1831" w:type="dxa"/>
            <w:vAlign w:val="center"/>
          </w:tcPr>
          <w:p w14:paraId="05F1347C">
            <w:pPr>
              <w:pStyle w:val="24"/>
              <w:keepNext/>
              <w:snapToGrid w:val="0"/>
              <w:spacing w:line="240" w:lineRule="auto"/>
              <w:ind w:left="0" w:leftChars="0" w:right="0" w:rightChars="0" w:firstLine="0" w:firstLineChars="0"/>
              <w:jc w:val="center"/>
            </w:pPr>
            <w:r>
              <w:rPr>
                <w:rFonts w:hint="eastAsia"/>
              </w:rPr>
              <w:t>协同诊断层</w:t>
            </w:r>
          </w:p>
        </w:tc>
        <w:tc>
          <w:tcPr>
            <w:tcW w:w="3360" w:type="dxa"/>
            <w:vAlign w:val="center"/>
          </w:tcPr>
          <w:p w14:paraId="1EBE779E">
            <w:pPr>
              <w:pStyle w:val="24"/>
              <w:keepNext/>
              <w:snapToGrid w:val="0"/>
              <w:spacing w:line="240" w:lineRule="auto"/>
              <w:ind w:left="0" w:leftChars="0" w:right="0" w:rightChars="0" w:firstLine="0" w:firstLineChars="0"/>
              <w:jc w:val="left"/>
            </w:pPr>
            <w:r>
              <w:rPr>
                <w:rFonts w:hint="eastAsia"/>
              </w:rPr>
              <w:t>跨终端时间对齐、事件关联、传播路径分析</w:t>
            </w:r>
          </w:p>
        </w:tc>
        <w:tc>
          <w:tcPr>
            <w:tcW w:w="3665" w:type="dxa"/>
            <w:vAlign w:val="center"/>
          </w:tcPr>
          <w:p w14:paraId="1BDBBBBF">
            <w:pPr>
              <w:pStyle w:val="24"/>
              <w:keepNext/>
              <w:snapToGrid w:val="0"/>
              <w:spacing w:line="240" w:lineRule="auto"/>
              <w:ind w:left="0" w:leftChars="0" w:right="0" w:rightChars="0" w:firstLine="0" w:firstLineChars="0"/>
              <w:jc w:val="left"/>
            </w:pPr>
            <w:r>
              <w:rPr>
                <w:rFonts w:hint="eastAsia"/>
              </w:rPr>
              <w:t>识别台区侧与专变用户侧之间的扰动关系</w:t>
            </w:r>
          </w:p>
        </w:tc>
      </w:tr>
      <w:tr w14:paraId="4105D464">
        <w:trPr>
          <w:trHeight w:val="0" w:hRule="atLeast"/>
          <w:jc w:val="center"/>
        </w:trPr>
        <w:tc>
          <w:tcPr>
            <w:tcW w:w="1831" w:type="dxa"/>
            <w:vAlign w:val="center"/>
          </w:tcPr>
          <w:p w14:paraId="09357028">
            <w:pPr>
              <w:pStyle w:val="24"/>
              <w:keepNext/>
              <w:snapToGrid w:val="0"/>
              <w:spacing w:line="240" w:lineRule="auto"/>
              <w:ind w:left="0" w:leftChars="0" w:right="0" w:rightChars="0" w:firstLine="0" w:firstLineChars="0"/>
              <w:jc w:val="center"/>
            </w:pPr>
            <w:r>
              <w:rPr>
                <w:rFonts w:hint="eastAsia"/>
              </w:rPr>
              <w:t>知识推理层</w:t>
            </w:r>
          </w:p>
        </w:tc>
        <w:tc>
          <w:tcPr>
            <w:tcW w:w="3360" w:type="dxa"/>
            <w:vAlign w:val="center"/>
          </w:tcPr>
          <w:p w14:paraId="01445D23">
            <w:pPr>
              <w:pStyle w:val="24"/>
              <w:keepNext/>
              <w:snapToGrid w:val="0"/>
              <w:spacing w:line="240" w:lineRule="auto"/>
              <w:ind w:left="0" w:leftChars="0" w:right="0" w:rightChars="0" w:firstLine="0" w:firstLineChars="0"/>
              <w:jc w:val="left"/>
            </w:pPr>
            <w:r>
              <w:rPr>
                <w:rFonts w:hint="eastAsia"/>
              </w:rPr>
              <w:t>规则库、案例库、因果规则</w:t>
            </w:r>
          </w:p>
        </w:tc>
        <w:tc>
          <w:tcPr>
            <w:tcW w:w="3665" w:type="dxa"/>
            <w:vAlign w:val="center"/>
          </w:tcPr>
          <w:p w14:paraId="6DDCC7BD">
            <w:pPr>
              <w:pStyle w:val="24"/>
              <w:keepNext/>
              <w:snapToGrid w:val="0"/>
              <w:spacing w:line="240" w:lineRule="auto"/>
              <w:ind w:left="0" w:leftChars="0" w:right="0" w:rightChars="0" w:firstLine="0" w:firstLineChars="0"/>
              <w:jc w:val="left"/>
            </w:pPr>
            <w:r>
              <w:rPr>
                <w:rFonts w:hint="eastAsia"/>
              </w:rPr>
              <w:t>扰动源判断、治理建议</w:t>
            </w:r>
          </w:p>
        </w:tc>
      </w:tr>
      <w:tr w14:paraId="2C29A3AC">
        <w:trPr>
          <w:trHeight w:val="0" w:hRule="atLeast"/>
          <w:jc w:val="center"/>
        </w:trPr>
        <w:tc>
          <w:tcPr>
            <w:tcW w:w="1831" w:type="dxa"/>
            <w:vAlign w:val="center"/>
          </w:tcPr>
          <w:p w14:paraId="6A674579">
            <w:pPr>
              <w:pStyle w:val="24"/>
              <w:keepNext/>
              <w:snapToGrid w:val="0"/>
              <w:spacing w:line="240" w:lineRule="auto"/>
              <w:ind w:left="0" w:leftChars="0" w:right="0" w:rightChars="0" w:firstLine="0" w:firstLineChars="0"/>
              <w:jc w:val="center"/>
            </w:pPr>
            <w:r>
              <w:rPr>
                <w:rFonts w:hint="eastAsia"/>
              </w:rPr>
              <w:t>大模型应用层</w:t>
            </w:r>
          </w:p>
        </w:tc>
        <w:tc>
          <w:tcPr>
            <w:tcW w:w="3360" w:type="dxa"/>
            <w:vAlign w:val="center"/>
          </w:tcPr>
          <w:p w14:paraId="51E0AF2A">
            <w:pPr>
              <w:pStyle w:val="24"/>
              <w:keepNext/>
              <w:snapToGrid w:val="0"/>
              <w:spacing w:line="240" w:lineRule="auto"/>
              <w:ind w:left="0" w:leftChars="0" w:right="0" w:rightChars="0" w:firstLine="0" w:firstLineChars="0"/>
              <w:jc w:val="left"/>
            </w:pPr>
            <w:r>
              <w:rPr>
                <w:rFonts w:hint="eastAsia"/>
              </w:rPr>
              <w:t>检索增强生成、工具调用、报告生成</w:t>
            </w:r>
          </w:p>
        </w:tc>
        <w:tc>
          <w:tcPr>
            <w:tcW w:w="3665" w:type="dxa"/>
            <w:vAlign w:val="center"/>
          </w:tcPr>
          <w:p w14:paraId="3BBA2BBE">
            <w:pPr>
              <w:pStyle w:val="24"/>
              <w:keepNext/>
              <w:snapToGrid w:val="0"/>
              <w:spacing w:line="240" w:lineRule="auto"/>
              <w:ind w:left="0" w:leftChars="0" w:right="0" w:rightChars="0" w:firstLine="0" w:firstLineChars="0"/>
              <w:jc w:val="left"/>
            </w:pPr>
            <w:r>
              <w:rPr>
                <w:rFonts w:hint="eastAsia"/>
              </w:rPr>
              <w:t>问答、解释、报告、工单辅助</w:t>
            </w:r>
          </w:p>
        </w:tc>
      </w:tr>
      <w:bookmarkEnd w:id="65"/>
    </w:tbl>
    <w:p w14:paraId="3F4D0BFD">
      <w:pPr>
        <w:pStyle w:val="4"/>
        <w:widowControl/>
        <w:numPr>
          <w:ilvl w:val="0"/>
          <w:numId w:val="9"/>
        </w:numPr>
        <w:ind w:left="0" w:leftChars="0" w:firstLine="0" w:firstLineChars="0"/>
        <w:rPr>
          <w:b w:val="0"/>
          <w:bdr w:val="none" w:sz="0" w:space="0"/>
        </w:rPr>
      </w:pPr>
      <w:bookmarkStart w:id="66" w:name="ux6a21ux578bux7c7bux578b"/>
      <w:r>
        <w:t>模型类型</w:t>
      </w:r>
    </w:p>
    <w:p w14:paraId="59387F46">
      <w:pPr>
        <w:pStyle w:val="3"/>
        <w:widowControl/>
        <w:rPr>
          <w:rFonts w:ascii="Times New Roman" w:hAnsi="Times New Roman" w:eastAsia="宋体" w:cs="Times New Roman"/>
          <w:sz w:val="24"/>
          <w:szCs w:val="24"/>
        </w:rPr>
      </w:pPr>
      <w:bookmarkStart w:id="67" w:name="ux5f02ux5e38ux68c0ux6d4bux6a21ux578b"/>
      <w:r>
        <w:rPr>
          <w:rFonts w:ascii="Times New Roman" w:hAnsi="Times New Roman" w:eastAsia="宋体" w:cs="Times New Roman"/>
          <w:sz w:val="24"/>
          <w:szCs w:val="24"/>
        </w:rPr>
        <w:t>异常检测模型</w:t>
      </w:r>
    </w:p>
    <w:p w14:paraId="3D09EC28">
      <w:pPr>
        <w:pStyle w:val="3"/>
        <w:rPr>
          <w:rFonts w:ascii="Times New Roman" w:hAnsi="Times New Roman" w:eastAsia="宋体" w:cs="Times New Roman"/>
          <w:sz w:val="24"/>
          <w:szCs w:val="24"/>
        </w:rPr>
      </w:pPr>
      <w:r>
        <w:rPr>
          <w:rFonts w:ascii="Times New Roman" w:hAnsi="Times New Roman" w:eastAsia="宋体" w:cs="Times New Roman"/>
          <w:sz w:val="24"/>
          <w:szCs w:val="24"/>
        </w:rPr>
        <w:t>用于识别未知异常和早期隐患。适用于标签不足的初期阶段。</w:t>
      </w:r>
    </w:p>
    <w:p w14:paraId="243442F7">
      <w:pPr>
        <w:pStyle w:val="3"/>
        <w:rPr>
          <w:rFonts w:ascii="Times New Roman" w:hAnsi="Times New Roman" w:eastAsia="宋体" w:cs="Times New Roman"/>
          <w:sz w:val="24"/>
          <w:szCs w:val="24"/>
        </w:rPr>
      </w:pPr>
      <w:r>
        <w:rPr>
          <w:rFonts w:ascii="Times New Roman" w:hAnsi="Times New Roman" w:eastAsia="宋体" w:cs="Times New Roman"/>
          <w:sz w:val="24"/>
          <w:szCs w:val="24"/>
        </w:rPr>
        <w:t>可选方法：</w:t>
      </w:r>
    </w:p>
    <w:p w14:paraId="05CA444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统计阈值模型；</w:t>
      </w:r>
    </w:p>
    <w:p w14:paraId="77BFB62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孤立森林；</w:t>
      </w:r>
    </w:p>
    <w:p w14:paraId="5247363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自编码器；</w:t>
      </w:r>
    </w:p>
    <w:p w14:paraId="4742DCB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一类分类模型；</w:t>
      </w:r>
    </w:p>
    <w:p w14:paraId="00E2995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时序异常检测模型。</w:t>
      </w:r>
    </w:p>
    <w:bookmarkEnd w:id="67"/>
    <w:p w14:paraId="0E72A6A0">
      <w:pPr>
        <w:pStyle w:val="3"/>
        <w:widowControl/>
        <w:rPr>
          <w:rFonts w:ascii="Times New Roman" w:hAnsi="Times New Roman" w:eastAsia="宋体" w:cs="Times New Roman"/>
          <w:sz w:val="24"/>
          <w:szCs w:val="24"/>
        </w:rPr>
      </w:pPr>
      <w:bookmarkStart w:id="68" w:name="ux4e8bux4ef6ux5206ux7c7bux6a21ux578b"/>
      <w:r>
        <w:rPr>
          <w:rFonts w:ascii="Times New Roman" w:hAnsi="Times New Roman" w:eastAsia="宋体" w:cs="Times New Roman"/>
          <w:sz w:val="24"/>
          <w:szCs w:val="24"/>
        </w:rPr>
        <w:t>事件分类模型</w:t>
      </w:r>
    </w:p>
    <w:p w14:paraId="6D79E8A5">
      <w:pPr>
        <w:pStyle w:val="3"/>
        <w:rPr>
          <w:rFonts w:ascii="Times New Roman" w:hAnsi="Times New Roman" w:eastAsia="宋体" w:cs="Times New Roman"/>
          <w:sz w:val="24"/>
          <w:szCs w:val="24"/>
        </w:rPr>
      </w:pPr>
      <w:r>
        <w:rPr>
          <w:rFonts w:ascii="Times New Roman" w:hAnsi="Times New Roman" w:eastAsia="宋体" w:cs="Times New Roman"/>
          <w:sz w:val="24"/>
          <w:szCs w:val="24"/>
        </w:rPr>
        <w:t>用于识别暂升、暂降、中断、冲击负荷、谐波异常、光伏影响等事件类型。模型应同时支持 256 点/周波与 512 点/周波样本，可根据任务复杂度采用统一特征模型、分采样率波形模型或融合模型。</w:t>
      </w:r>
    </w:p>
    <w:p w14:paraId="58DC9788">
      <w:pPr>
        <w:pStyle w:val="3"/>
        <w:rPr>
          <w:rFonts w:ascii="Times New Roman" w:hAnsi="Times New Roman" w:eastAsia="宋体" w:cs="Times New Roman"/>
          <w:sz w:val="24"/>
          <w:szCs w:val="24"/>
        </w:rPr>
      </w:pPr>
      <w:r>
        <w:rPr>
          <w:rFonts w:ascii="Times New Roman" w:hAnsi="Times New Roman" w:eastAsia="宋体" w:cs="Times New Roman"/>
          <w:sz w:val="24"/>
          <w:szCs w:val="24"/>
        </w:rPr>
        <w:t>可选方法：</w:t>
      </w:r>
    </w:p>
    <w:p w14:paraId="24D5E1B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基于特征的分类模型；</w:t>
      </w:r>
    </w:p>
    <w:p w14:paraId="0C04D59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一维卷积网络；</w:t>
      </w:r>
    </w:p>
    <w:p w14:paraId="2E0114B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时序 Transformer；</w:t>
      </w:r>
    </w:p>
    <w:p w14:paraId="29815CD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轻量化神经网络；</w:t>
      </w:r>
    </w:p>
    <w:p w14:paraId="7E0A209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多模态特征融合模型。</w:t>
      </w:r>
    </w:p>
    <w:bookmarkEnd w:id="68"/>
    <w:p w14:paraId="41901FE9">
      <w:pPr>
        <w:pStyle w:val="3"/>
        <w:widowControl/>
        <w:rPr>
          <w:rFonts w:ascii="Times New Roman" w:hAnsi="Times New Roman" w:eastAsia="宋体" w:cs="Times New Roman"/>
          <w:sz w:val="24"/>
          <w:szCs w:val="24"/>
        </w:rPr>
      </w:pPr>
      <w:bookmarkStart w:id="69" w:name="X873e95dbdc2796bc53e50d44f919fe96959cf47"/>
      <w:r>
        <w:rPr>
          <w:rFonts w:ascii="Times New Roman" w:hAnsi="Times New Roman" w:eastAsia="宋体" w:cs="Times New Roman"/>
          <w:sz w:val="24"/>
          <w:szCs w:val="24"/>
        </w:rPr>
        <w:t>扰动源识别模型</w:t>
      </w:r>
    </w:p>
    <w:p w14:paraId="6AF2A6B2">
      <w:pPr>
        <w:pStyle w:val="3"/>
        <w:rPr>
          <w:rFonts w:ascii="Times New Roman" w:hAnsi="Times New Roman" w:eastAsia="宋体" w:cs="Times New Roman"/>
          <w:sz w:val="24"/>
          <w:szCs w:val="24"/>
        </w:rPr>
      </w:pPr>
      <w:r>
        <w:rPr>
          <w:rFonts w:ascii="Times New Roman" w:hAnsi="Times New Roman" w:eastAsia="宋体" w:cs="Times New Roman"/>
          <w:sz w:val="24"/>
          <w:szCs w:val="24"/>
        </w:rPr>
        <w:t>用于判断事件更可能来源于用户侧、专变用户侧、电网侧、新能源侧或设备隐患。</w:t>
      </w:r>
    </w:p>
    <w:p w14:paraId="7ACD3164">
      <w:pPr>
        <w:pStyle w:val="3"/>
        <w:rPr>
          <w:rFonts w:ascii="Times New Roman" w:hAnsi="Times New Roman" w:eastAsia="宋体" w:cs="Times New Roman"/>
          <w:sz w:val="24"/>
          <w:szCs w:val="24"/>
        </w:rPr>
      </w:pPr>
      <w:r>
        <w:rPr>
          <w:rFonts w:ascii="Times New Roman" w:hAnsi="Times New Roman" w:eastAsia="宋体" w:cs="Times New Roman"/>
          <w:sz w:val="24"/>
          <w:szCs w:val="24"/>
        </w:rPr>
        <w:t>可选方法：</w:t>
      </w:r>
    </w:p>
    <w:p w14:paraId="2E495C9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电压电流因果特征规则；</w:t>
      </w:r>
    </w:p>
    <w:p w14:paraId="692A002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监督分类模型；</w:t>
      </w:r>
    </w:p>
    <w:p w14:paraId="2A53123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图模型；</w:t>
      </w:r>
    </w:p>
    <w:p w14:paraId="531B30F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相似案例检索；</w:t>
      </w:r>
    </w:p>
    <w:p w14:paraId="5363343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规则与模型融合推理。</w:t>
      </w:r>
    </w:p>
    <w:bookmarkEnd w:id="69"/>
    <w:p w14:paraId="0E96292A">
      <w:pPr>
        <w:pStyle w:val="3"/>
        <w:widowControl/>
        <w:rPr>
          <w:rFonts w:ascii="Times New Roman" w:hAnsi="Times New Roman" w:eastAsia="宋体" w:cs="Times New Roman"/>
          <w:sz w:val="24"/>
          <w:szCs w:val="24"/>
        </w:rPr>
      </w:pPr>
      <w:bookmarkStart w:id="70" w:name="ux98ceux9669ux9884ux6d4bux6a21ux578b"/>
      <w:r>
        <w:rPr>
          <w:rFonts w:ascii="Times New Roman" w:hAnsi="Times New Roman" w:eastAsia="宋体" w:cs="Times New Roman"/>
          <w:sz w:val="24"/>
          <w:szCs w:val="24"/>
        </w:rPr>
        <w:t>风险预测模型</w:t>
      </w:r>
    </w:p>
    <w:p w14:paraId="7A3FAA2F">
      <w:pPr>
        <w:pStyle w:val="3"/>
        <w:rPr>
          <w:rFonts w:ascii="Times New Roman" w:hAnsi="Times New Roman" w:eastAsia="宋体" w:cs="Times New Roman"/>
          <w:sz w:val="24"/>
          <w:szCs w:val="24"/>
        </w:rPr>
      </w:pPr>
      <w:r>
        <w:rPr>
          <w:rFonts w:ascii="Times New Roman" w:hAnsi="Times New Roman" w:eastAsia="宋体" w:cs="Times New Roman"/>
          <w:sz w:val="24"/>
          <w:szCs w:val="24"/>
        </w:rPr>
        <w:t>用于预测电压越限、谐波超标、台区过载、专变用户冲击负荷、专变用户侧异常、三相不平衡恶化等风险。</w:t>
      </w:r>
    </w:p>
    <w:p w14:paraId="7D6B8D01">
      <w:pPr>
        <w:pStyle w:val="3"/>
        <w:rPr>
          <w:rFonts w:ascii="Times New Roman" w:hAnsi="Times New Roman" w:eastAsia="宋体" w:cs="Times New Roman"/>
          <w:sz w:val="24"/>
          <w:szCs w:val="24"/>
        </w:rPr>
      </w:pPr>
      <w:r>
        <w:rPr>
          <w:rFonts w:ascii="Times New Roman" w:hAnsi="Times New Roman" w:eastAsia="宋体" w:cs="Times New Roman"/>
          <w:sz w:val="24"/>
          <w:szCs w:val="24"/>
        </w:rPr>
        <w:t>可选方法：</w:t>
      </w:r>
    </w:p>
    <w:p w14:paraId="03FE06F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时间序列预测；</w:t>
      </w:r>
    </w:p>
    <w:p w14:paraId="09F1F14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负荷预测；</w:t>
      </w:r>
    </w:p>
    <w:p w14:paraId="74B720E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趋势模型；</w:t>
      </w:r>
    </w:p>
    <w:p w14:paraId="090F5C8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风险评分模型；</w:t>
      </w:r>
    </w:p>
    <w:p w14:paraId="4F74EFD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分位数预测模型。</w:t>
      </w:r>
    </w:p>
    <w:bookmarkEnd w:id="70"/>
    <w:p w14:paraId="34C04853">
      <w:pPr>
        <w:pStyle w:val="3"/>
        <w:widowControl/>
        <w:rPr>
          <w:rFonts w:ascii="Times New Roman" w:hAnsi="Times New Roman" w:eastAsia="宋体" w:cs="Times New Roman"/>
          <w:sz w:val="24"/>
          <w:szCs w:val="24"/>
        </w:rPr>
      </w:pPr>
      <w:bookmarkStart w:id="71" w:name="ux5927ux6a21ux578bux5e94ux7528"/>
      <w:r>
        <w:rPr>
          <w:rFonts w:ascii="Times New Roman" w:hAnsi="Times New Roman" w:eastAsia="宋体" w:cs="Times New Roman"/>
          <w:sz w:val="24"/>
          <w:szCs w:val="24"/>
        </w:rPr>
        <w:t>大模型应用</w:t>
      </w:r>
    </w:p>
    <w:p w14:paraId="0CD4C8A4">
      <w:pPr>
        <w:pStyle w:val="3"/>
        <w:rPr>
          <w:rFonts w:ascii="Times New Roman" w:hAnsi="Times New Roman" w:eastAsia="宋体" w:cs="Times New Roman"/>
          <w:sz w:val="24"/>
          <w:szCs w:val="24"/>
        </w:rPr>
      </w:pPr>
      <w:r>
        <w:rPr>
          <w:rFonts w:ascii="Times New Roman" w:hAnsi="Times New Roman" w:eastAsia="宋体" w:cs="Times New Roman"/>
          <w:sz w:val="24"/>
          <w:szCs w:val="24"/>
        </w:rPr>
        <w:t>用于自然语言问答、事件解释、报告生成、工单建议和知识检索。</w:t>
      </w:r>
    </w:p>
    <w:p w14:paraId="41D91EE9">
      <w:pPr>
        <w:pStyle w:val="3"/>
        <w:rPr>
          <w:rFonts w:ascii="Times New Roman" w:hAnsi="Times New Roman" w:eastAsia="宋体" w:cs="Times New Roman"/>
          <w:sz w:val="24"/>
          <w:szCs w:val="24"/>
        </w:rPr>
      </w:pPr>
      <w:r>
        <w:rPr>
          <w:rFonts w:ascii="Times New Roman" w:hAnsi="Times New Roman" w:eastAsia="宋体" w:cs="Times New Roman"/>
          <w:sz w:val="24"/>
          <w:szCs w:val="24"/>
        </w:rPr>
        <w:t>建议采用检索增强生成方式，将大模型回答约束在以下数据范围内：</w:t>
      </w:r>
    </w:p>
    <w:p w14:paraId="7A826A4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电能质量指标库；</w:t>
      </w:r>
    </w:p>
    <w:p w14:paraId="10CEA6B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事件库；</w:t>
      </w:r>
    </w:p>
    <w:p w14:paraId="47930D8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台区和专变用户档案；</w:t>
      </w:r>
    </w:p>
    <w:p w14:paraId="181D2E3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历史案例库；</w:t>
      </w:r>
    </w:p>
    <w:p w14:paraId="151DEA1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运维工单库；</w:t>
      </w:r>
    </w:p>
    <w:p w14:paraId="1CA0A05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标准规程知识库；</w:t>
      </w:r>
    </w:p>
    <w:p w14:paraId="1161E57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模型输出结果。</w:t>
      </w:r>
    </w:p>
    <w:bookmarkEnd w:id="66"/>
    <w:bookmarkEnd w:id="71"/>
    <w:p w14:paraId="4CDD5E8B">
      <w:pPr>
        <w:pStyle w:val="4"/>
        <w:widowControl/>
        <w:numPr>
          <w:ilvl w:val="0"/>
          <w:numId w:val="9"/>
        </w:numPr>
        <w:ind w:left="0" w:leftChars="0" w:firstLine="0" w:firstLineChars="0"/>
        <w:rPr>
          <w:b w:val="0"/>
          <w:bdr w:val="none" w:sz="0" w:space="0"/>
        </w:rPr>
      </w:pPr>
      <w:bookmarkStart w:id="72" w:name="ux8badux7ec3ux6570ux636eux5206ux5de5"/>
      <w:r>
        <w:t>训练数据分工</w:t>
      </w:r>
    </w:p>
    <w:p w14:paraId="29FEB813">
      <w:pPr>
        <w:pStyle w:val="3"/>
        <w:widowControl/>
        <w:rPr>
          <w:rFonts w:ascii="Times New Roman" w:hAnsi="Times New Roman" w:eastAsia="宋体" w:cs="Times New Roman"/>
          <w:sz w:val="24"/>
          <w:szCs w:val="24"/>
        </w:rPr>
      </w:pPr>
      <w:bookmarkStart w:id="73" w:name="ux7275ux5934ux5355ux4f4d"/>
      <w:r>
        <w:rPr>
          <w:rFonts w:ascii="Times New Roman" w:hAnsi="Times New Roman" w:eastAsia="宋体" w:cs="Times New Roman"/>
          <w:sz w:val="24"/>
          <w:szCs w:val="24"/>
        </w:rPr>
        <w:t>牵头单位</w:t>
      </w:r>
    </w:p>
    <w:p w14:paraId="144E8AE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制定统一数据规范；</w:t>
      </w:r>
    </w:p>
    <w:p w14:paraId="7FE4454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制定统一标签体系；</w:t>
      </w:r>
    </w:p>
    <w:p w14:paraId="2AA9FC4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提供典型台区、专变用户试点场景；</w:t>
      </w:r>
    </w:p>
    <w:p w14:paraId="480F798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组织专家标注；</w:t>
      </w:r>
    </w:p>
    <w:p w14:paraId="6E6B303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建立样本库和评测集；</w:t>
      </w:r>
    </w:p>
    <w:p w14:paraId="227F236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组织模型评测和成果验收；</w:t>
      </w:r>
    </w:p>
    <w:p w14:paraId="70F5C21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负责跨单位数据合规和安全要求。</w:t>
      </w:r>
    </w:p>
    <w:bookmarkEnd w:id="73"/>
    <w:p w14:paraId="26D185EE">
      <w:pPr>
        <w:pStyle w:val="5"/>
        <w:widowControl/>
      </w:pPr>
      <w:bookmarkStart w:id="74" w:name="X9940bd18cc9961fc270d48c7a9d3085ea4cd65d"/>
      <w:r>
        <w:t>智能融合终端研发单位</w:t>
      </w:r>
    </w:p>
    <w:p w14:paraId="230292F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 256 点/周波波形采集、缓存和事件冻结；</w:t>
      </w:r>
    </w:p>
    <w:p w14:paraId="54C3BD9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实现台区侧基础电能质量标准算法；</w:t>
      </w:r>
    </w:p>
    <w:p w14:paraId="3DB46FC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实现台区侧边缘特征提取；</w:t>
      </w:r>
    </w:p>
    <w:p w14:paraId="7760EFF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提供智能融合终端数据格式和接口；</w:t>
      </w:r>
    </w:p>
    <w:p w14:paraId="194D764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支持轻量化模型推理、规则升级和参数配置。</w:t>
      </w:r>
    </w:p>
    <w:bookmarkEnd w:id="74"/>
    <w:p w14:paraId="2CA85D50">
      <w:pPr>
        <w:pStyle w:val="5"/>
        <w:widowControl/>
      </w:pPr>
      <w:bookmarkStart w:id="75" w:name="X2f328dfd5811a46e519f79f9b2b3b80fe963df3"/>
      <w:r>
        <w:t>专变/ECU</w:t>
      </w:r>
      <w:r>
        <w:t xml:space="preserve"> 终端研发单位</w:t>
      </w:r>
    </w:p>
    <w:p w14:paraId="19B081E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 512 点/周波波形采集、缓存和事件冻结；</w:t>
      </w:r>
    </w:p>
    <w:p w14:paraId="6C1D73E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实现专变用户侧基础电能质量标准算法；</w:t>
      </w:r>
    </w:p>
    <w:p w14:paraId="29D58C8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实现专变用户冲击负荷、谐波源、暂态扰动等特征提取；</w:t>
      </w:r>
    </w:p>
    <w:p w14:paraId="6612B01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提供专变/ECU 终端数据格式和接口；</w:t>
      </w:r>
    </w:p>
    <w:p w14:paraId="0F123FC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支持轻量化模型推理、规则升级、参数配置和版本管理。</w:t>
      </w:r>
    </w:p>
    <w:bookmarkEnd w:id="75"/>
    <w:p w14:paraId="42E80CBF">
      <w:pPr>
        <w:pStyle w:val="5"/>
        <w:widowControl/>
      </w:pPr>
      <w:bookmarkStart w:id="76" w:name="X33acd9689777fb0334dbd4cc687b2f944b5ceae"/>
      <w:r>
        <w:t>终端协同接口单位</w:t>
      </w:r>
    </w:p>
    <w:p w14:paraId="16788FC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统一两类终端的数据字段、时间戳、通道命名和质量标记；</w:t>
      </w:r>
    </w:p>
    <w:p w14:paraId="75DEC81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 256 点/周波与 512 点/周波数据兼容接口；</w:t>
      </w:r>
    </w:p>
    <w:p w14:paraId="5DEAB49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定义跨终端事件关联所需的对象编号、安装位置和拓扑关系；</w:t>
      </w:r>
    </w:p>
    <w:p w14:paraId="1CE4D21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支持多终端数据接入联调。</w:t>
      </w:r>
    </w:p>
    <w:bookmarkEnd w:id="76"/>
    <w:p w14:paraId="77621F32">
      <w:pPr>
        <w:pStyle w:val="5"/>
        <w:widowControl/>
      </w:pPr>
      <w:bookmarkStart w:id="77" w:name="ux7b97ux6cd5ux7814ux53d1ux5355ux4f4d"/>
      <w:r>
        <w:t>算法研发单位</w:t>
      </w:r>
    </w:p>
    <w:p w14:paraId="3ADCCAA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设计跨采样率特征工程；</w:t>
      </w:r>
    </w:p>
    <w:p w14:paraId="6BA4FE5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训练异常检测、事件分类、扰动源识别和风险预测模型；</w:t>
      </w:r>
    </w:p>
    <w:p w14:paraId="075ED91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训练或设计多终端协同诊断模型；</w:t>
      </w:r>
    </w:p>
    <w:p w14:paraId="26824E6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输出模型评估报告；</w:t>
      </w:r>
    </w:p>
    <w:p w14:paraId="26263F3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完成模型压缩和端侧适配；</w:t>
      </w:r>
    </w:p>
    <w:p w14:paraId="2028BDD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建立模型版本管理机制；</w:t>
      </w:r>
    </w:p>
    <w:p w14:paraId="469224E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提供模型解释能力。</w:t>
      </w:r>
    </w:p>
    <w:bookmarkEnd w:id="77"/>
    <w:p w14:paraId="338C1A46">
      <w:pPr>
        <w:pStyle w:val="3"/>
        <w:widowControl/>
        <w:rPr>
          <w:rFonts w:ascii="Times New Roman" w:hAnsi="Times New Roman" w:eastAsia="宋体" w:cs="Times New Roman"/>
          <w:sz w:val="24"/>
          <w:szCs w:val="24"/>
        </w:rPr>
      </w:pPr>
      <w:bookmarkStart w:id="78" w:name="X7f4c6ea0cf2a73ba0b8060096a517d3314acb4e"/>
      <w:r>
        <w:rPr>
          <w:rFonts w:ascii="Times New Roman" w:hAnsi="Times New Roman" w:eastAsia="宋体" w:cs="Times New Roman"/>
          <w:sz w:val="24"/>
          <w:szCs w:val="24"/>
        </w:rPr>
        <w:t>终端厂家 AI 训练平台建设单位</w:t>
      </w:r>
    </w:p>
    <w:p w14:paraId="272DEF5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建设终端厂家自有 AI 训练平台；</w:t>
      </w:r>
    </w:p>
    <w:p w14:paraId="11CD66F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建设数据接入、存储、检索和计算能力；</w:t>
      </w:r>
    </w:p>
    <w:p w14:paraId="5A5E40E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建设事件库、样本库、标签库和模型库；</w:t>
      </w:r>
    </w:p>
    <w:p w14:paraId="3230837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支持智能融合终端和专变/ECU 终端数据统一接入；</w:t>
      </w:r>
    </w:p>
    <w:p w14:paraId="63A9D18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建设大模型应用服务；</w:t>
      </w:r>
    </w:p>
    <w:p w14:paraId="5423F6A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提供报表、看板、告警和工单接口；</w:t>
      </w:r>
    </w:p>
    <w:p w14:paraId="6F0FCB0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支持模型训练闭环和在线评估。</w:t>
      </w:r>
    </w:p>
    <w:bookmarkEnd w:id="78"/>
    <w:p w14:paraId="5B7EAC56">
      <w:pPr>
        <w:pStyle w:val="3"/>
        <w:widowControl/>
        <w:rPr>
          <w:rFonts w:ascii="Times New Roman" w:hAnsi="Times New Roman" w:eastAsia="宋体" w:cs="Times New Roman"/>
          <w:sz w:val="24"/>
          <w:szCs w:val="24"/>
        </w:rPr>
      </w:pPr>
      <w:bookmarkStart w:id="79" w:name="ux73b0ux573aux8bd5ux70b9ux5355ux4f4d"/>
      <w:r>
        <w:rPr>
          <w:rFonts w:ascii="Times New Roman" w:hAnsi="Times New Roman" w:eastAsia="宋体" w:cs="Times New Roman"/>
          <w:sz w:val="24"/>
          <w:szCs w:val="24"/>
        </w:rPr>
        <w:t>现场试点单位</w:t>
      </w:r>
    </w:p>
    <w:p w14:paraId="359A179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提供真实台区、专变用户运行场景；</w:t>
      </w:r>
    </w:p>
    <w:p w14:paraId="7929396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配合安装和调试两类终端；</w:t>
      </w:r>
    </w:p>
    <w:p w14:paraId="40ED818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提供台区档案、专变用户档案、设备清单、新能源接入和运维记录；</w:t>
      </w:r>
    </w:p>
    <w:p w14:paraId="743D9E9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参与事件核查和标签确认；</w:t>
      </w:r>
    </w:p>
    <w:p w14:paraId="24A37AD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验证模型输出是否符合现场经验；</w:t>
      </w:r>
    </w:p>
    <w:p w14:paraId="13F13D2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反馈业务价值和使用问题。</w:t>
      </w:r>
    </w:p>
    <w:bookmarkEnd w:id="72"/>
    <w:bookmarkEnd w:id="79"/>
    <w:p w14:paraId="60DD269F">
      <w:pPr>
        <w:pStyle w:val="4"/>
        <w:widowControl/>
        <w:numPr>
          <w:ilvl w:val="0"/>
          <w:numId w:val="9"/>
        </w:numPr>
        <w:ind w:left="0" w:leftChars="0" w:firstLine="0" w:firstLineChars="0"/>
        <w:rPr>
          <w:b w:val="0"/>
          <w:bdr w:val="none" w:sz="0" w:space="0"/>
        </w:rPr>
      </w:pPr>
      <w:bookmarkStart w:id="80" w:name="ux8badux7ec3ux6d41ux7a0b"/>
      <w:r>
        <w:t>训练流程</w:t>
      </w:r>
    </w:p>
    <w:p w14:paraId="2B641270">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数据采集：智能融合终端采集 256 点/周波波形，专变/ECU 终端采集 512 点/周波波形，并同步采集实时监测量和电能质量指标。</w:t>
      </w:r>
    </w:p>
    <w:p w14:paraId="25DB6E93">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数据清洗：训练平台完成缺失、异常、时间同步、采样点数校验和通道一致性校验。</w:t>
      </w:r>
    </w:p>
    <w:p w14:paraId="0B4B41C0">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事件切片：按事件触发和固定窗口生成波形样本。</w:t>
      </w:r>
    </w:p>
    <w:p w14:paraId="0D72825E">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初始标签：由标准算法和规则模型生成初步标签。</w:t>
      </w:r>
    </w:p>
    <w:p w14:paraId="529320EB">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专家复核：专家对典型样本、争议样本和高风险样本进行确认。</w:t>
      </w:r>
    </w:p>
    <w:p w14:paraId="74D191AD">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特征提取：提取标准特征、波形特征、跨采样率特征、时序特征和业务特征。</w:t>
      </w:r>
    </w:p>
    <w:p w14:paraId="506B566C">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模型训练：在终端厂家训练平台上，由终端厂家联合算法单位完成分终端模型、跨采样率模型和协同诊断模型的训练、验证和调参。</w:t>
      </w:r>
    </w:p>
    <w:p w14:paraId="3BA88A5E">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模型评估：使用独立测试集评估准确率、召回率、误报率、漏报率和解释质量。</w:t>
      </w:r>
    </w:p>
    <w:p w14:paraId="66DCF2FE">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端侧适配：对模型进行轻量化、量化或规则化处理。</w:t>
      </w:r>
    </w:p>
    <w:p w14:paraId="56B9A3DB">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现场试运行：在试点台区、专变用户场景进行在线验证。</w:t>
      </w:r>
    </w:p>
    <w:p w14:paraId="0F6ED0AD">
      <w:pPr>
        <w:pStyle w:val="3"/>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闭环优化：根据人工反馈和现场结果持续更新样本库与模型。</w:t>
      </w:r>
    </w:p>
    <w:bookmarkEnd w:id="80"/>
    <w:p w14:paraId="6012C46B">
      <w:pPr>
        <w:pStyle w:val="4"/>
        <w:widowControl/>
        <w:numPr>
          <w:ilvl w:val="0"/>
          <w:numId w:val="9"/>
        </w:numPr>
        <w:ind w:left="0" w:leftChars="0" w:firstLine="0" w:firstLineChars="0"/>
        <w:rPr>
          <w:b w:val="0"/>
          <w:bdr w:val="none" w:sz="0" w:space="0"/>
        </w:rPr>
      </w:pPr>
      <w:bookmarkStart w:id="81" w:name="ux6a21ux578bux8bc4ux4f30ux6307ux6807"/>
      <w:r>
        <w:t>模型评估指标</w:t>
      </w:r>
    </w:p>
    <w:tbl>
      <w:tblPr>
        <w:tblStyle w:val="2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6964"/>
      </w:tblGrid>
      <w:tr w14:paraId="621A2465">
        <w:trPr>
          <w:trHeight w:val="0" w:hRule="atLeast"/>
          <w:tblHeader/>
          <w:jc w:val="center"/>
        </w:trPr>
        <w:tc>
          <w:tcPr>
            <w:tcW w:w="1892" w:type="dxa"/>
            <w:vAlign w:val="center"/>
          </w:tcPr>
          <w:p w14:paraId="24C5AEEF">
            <w:pPr>
              <w:pStyle w:val="24"/>
              <w:snapToGrid w:val="0"/>
              <w:spacing w:line="240" w:lineRule="auto"/>
              <w:ind w:left="0" w:leftChars="0" w:right="0" w:rightChars="0" w:firstLine="0" w:firstLineChars="0"/>
              <w:jc w:val="center"/>
              <w:rPr>
                <w:b/>
              </w:rPr>
            </w:pPr>
            <w:r>
              <w:rPr>
                <w:rFonts w:hint="eastAsia"/>
                <w:b/>
              </w:rPr>
              <w:t>模型能力</w:t>
            </w:r>
          </w:p>
        </w:tc>
        <w:tc>
          <w:tcPr>
            <w:tcW w:w="6964" w:type="dxa"/>
            <w:vAlign w:val="center"/>
          </w:tcPr>
          <w:p w14:paraId="471BCADE">
            <w:pPr>
              <w:pStyle w:val="24"/>
              <w:snapToGrid w:val="0"/>
              <w:spacing w:line="240" w:lineRule="auto"/>
              <w:ind w:left="0" w:leftChars="0" w:right="0" w:rightChars="0" w:firstLine="0" w:firstLineChars="0"/>
              <w:jc w:val="center"/>
              <w:rPr>
                <w:b/>
              </w:rPr>
            </w:pPr>
            <w:r>
              <w:rPr>
                <w:rFonts w:hint="eastAsia"/>
                <w:b/>
              </w:rPr>
              <w:t>主要指标</w:t>
            </w:r>
          </w:p>
        </w:tc>
      </w:tr>
      <w:tr w14:paraId="5ACED3E4">
        <w:trPr>
          <w:trHeight w:val="0" w:hRule="atLeast"/>
          <w:jc w:val="center"/>
        </w:trPr>
        <w:tc>
          <w:tcPr>
            <w:tcW w:w="1892" w:type="dxa"/>
            <w:vAlign w:val="center"/>
          </w:tcPr>
          <w:p w14:paraId="68F5715B">
            <w:pPr>
              <w:pStyle w:val="24"/>
              <w:snapToGrid w:val="0"/>
              <w:spacing w:line="240" w:lineRule="auto"/>
              <w:ind w:left="0" w:leftChars="0" w:right="0" w:rightChars="0" w:firstLine="0" w:firstLineChars="0"/>
              <w:jc w:val="left"/>
            </w:pPr>
            <w:r>
              <w:rPr>
                <w:rFonts w:hint="eastAsia"/>
              </w:rPr>
              <w:t>事件检测</w:t>
            </w:r>
          </w:p>
        </w:tc>
        <w:tc>
          <w:tcPr>
            <w:tcW w:w="6964" w:type="dxa"/>
            <w:vAlign w:val="center"/>
          </w:tcPr>
          <w:p w14:paraId="203519CC">
            <w:pPr>
              <w:pStyle w:val="24"/>
              <w:snapToGrid w:val="0"/>
              <w:spacing w:line="240" w:lineRule="auto"/>
              <w:ind w:left="0" w:leftChars="0" w:right="0" w:rightChars="0" w:firstLine="0" w:firstLineChars="0"/>
              <w:jc w:val="left"/>
            </w:pPr>
            <w:r>
              <w:rPr>
                <w:rFonts w:hint="eastAsia"/>
              </w:rPr>
              <w:t>检出率、漏报率、误报率、事件起止时间误差</w:t>
            </w:r>
          </w:p>
        </w:tc>
      </w:tr>
      <w:tr w14:paraId="563B5633">
        <w:trPr>
          <w:trHeight w:val="0" w:hRule="atLeast"/>
          <w:jc w:val="center"/>
        </w:trPr>
        <w:tc>
          <w:tcPr>
            <w:tcW w:w="1892" w:type="dxa"/>
            <w:vAlign w:val="center"/>
          </w:tcPr>
          <w:p w14:paraId="5A199B0B">
            <w:pPr>
              <w:pStyle w:val="24"/>
              <w:snapToGrid w:val="0"/>
              <w:spacing w:line="240" w:lineRule="auto"/>
              <w:ind w:left="0" w:leftChars="0" w:right="0" w:rightChars="0" w:firstLine="0" w:firstLineChars="0"/>
              <w:jc w:val="left"/>
            </w:pPr>
            <w:r>
              <w:rPr>
                <w:rFonts w:hint="eastAsia"/>
              </w:rPr>
              <w:t>事件分类</w:t>
            </w:r>
          </w:p>
        </w:tc>
        <w:tc>
          <w:tcPr>
            <w:tcW w:w="6964" w:type="dxa"/>
            <w:vAlign w:val="center"/>
          </w:tcPr>
          <w:p w14:paraId="44937EAF">
            <w:pPr>
              <w:pStyle w:val="24"/>
              <w:snapToGrid w:val="0"/>
              <w:spacing w:line="240" w:lineRule="auto"/>
              <w:ind w:left="0" w:leftChars="0" w:right="0" w:rightChars="0" w:firstLine="0" w:firstLineChars="0"/>
              <w:jc w:val="left"/>
            </w:pPr>
            <w:r>
              <w:rPr>
                <w:rFonts w:hint="eastAsia"/>
              </w:rPr>
              <w:t>准确率、召回率、F1</w:t>
            </w:r>
            <w:r>
              <w:t xml:space="preserve"> </w:t>
            </w:r>
            <w:r>
              <w:rPr>
                <w:rFonts w:hint="eastAsia"/>
              </w:rPr>
              <w:t>值、混淆矩阵</w:t>
            </w:r>
          </w:p>
        </w:tc>
      </w:tr>
      <w:tr w14:paraId="6F8798DA">
        <w:trPr>
          <w:trHeight w:val="0" w:hRule="atLeast"/>
          <w:jc w:val="center"/>
        </w:trPr>
        <w:tc>
          <w:tcPr>
            <w:tcW w:w="1892" w:type="dxa"/>
            <w:vAlign w:val="center"/>
          </w:tcPr>
          <w:p w14:paraId="4AF60B11">
            <w:pPr>
              <w:pStyle w:val="24"/>
              <w:snapToGrid w:val="0"/>
              <w:spacing w:line="240" w:lineRule="auto"/>
              <w:ind w:left="0" w:leftChars="0" w:right="0" w:rightChars="0" w:firstLine="0" w:firstLineChars="0"/>
              <w:jc w:val="left"/>
            </w:pPr>
            <w:r>
              <w:rPr>
                <w:rFonts w:hint="eastAsia"/>
              </w:rPr>
              <w:t>扰动源识别</w:t>
            </w:r>
          </w:p>
        </w:tc>
        <w:tc>
          <w:tcPr>
            <w:tcW w:w="6964" w:type="dxa"/>
            <w:vAlign w:val="center"/>
          </w:tcPr>
          <w:p w14:paraId="6DCA3EEC">
            <w:pPr>
              <w:pStyle w:val="24"/>
              <w:snapToGrid w:val="0"/>
              <w:spacing w:line="240" w:lineRule="auto"/>
              <w:ind w:left="0" w:leftChars="0" w:right="0" w:rightChars="0" w:firstLine="0" w:firstLineChars="0"/>
              <w:jc w:val="left"/>
            </w:pPr>
            <w:r>
              <w:rPr>
                <w:rFonts w:hint="eastAsia"/>
              </w:rPr>
              <w:t>来源判断准确率、置信度校准、专家一致性</w:t>
            </w:r>
          </w:p>
        </w:tc>
      </w:tr>
      <w:tr w14:paraId="23336535">
        <w:trPr>
          <w:trHeight w:val="0" w:hRule="atLeast"/>
          <w:jc w:val="center"/>
        </w:trPr>
        <w:tc>
          <w:tcPr>
            <w:tcW w:w="1892" w:type="dxa"/>
            <w:vAlign w:val="center"/>
          </w:tcPr>
          <w:p w14:paraId="4E7866C3">
            <w:pPr>
              <w:pStyle w:val="24"/>
              <w:snapToGrid w:val="0"/>
              <w:spacing w:line="240" w:lineRule="auto"/>
              <w:ind w:left="0" w:leftChars="0" w:right="0" w:rightChars="0" w:firstLine="0" w:firstLineChars="0"/>
              <w:jc w:val="left"/>
            </w:pPr>
            <w:r>
              <w:rPr>
                <w:rFonts w:hint="eastAsia"/>
              </w:rPr>
              <w:t>跨终端关联</w:t>
            </w:r>
          </w:p>
        </w:tc>
        <w:tc>
          <w:tcPr>
            <w:tcW w:w="6964" w:type="dxa"/>
            <w:vAlign w:val="center"/>
          </w:tcPr>
          <w:p w14:paraId="4F2648E6">
            <w:pPr>
              <w:pStyle w:val="24"/>
              <w:snapToGrid w:val="0"/>
              <w:spacing w:line="240" w:lineRule="auto"/>
              <w:ind w:left="0" w:leftChars="0" w:right="0" w:rightChars="0" w:firstLine="0" w:firstLineChars="0"/>
              <w:jc w:val="left"/>
            </w:pPr>
            <w:r>
              <w:rPr>
                <w:rFonts w:hint="eastAsia"/>
              </w:rPr>
              <w:t>关联准确率、时间对齐误差、传播路径判断准确率</w:t>
            </w:r>
          </w:p>
        </w:tc>
      </w:tr>
      <w:tr w14:paraId="4B983CD1">
        <w:trPr>
          <w:trHeight w:val="0" w:hRule="atLeast"/>
          <w:jc w:val="center"/>
        </w:trPr>
        <w:tc>
          <w:tcPr>
            <w:tcW w:w="1892" w:type="dxa"/>
            <w:vAlign w:val="center"/>
          </w:tcPr>
          <w:p w14:paraId="7DEBB072">
            <w:pPr>
              <w:pStyle w:val="24"/>
              <w:snapToGrid w:val="0"/>
              <w:spacing w:line="240" w:lineRule="auto"/>
              <w:ind w:left="0" w:leftChars="0" w:right="0" w:rightChars="0" w:firstLine="0" w:firstLineChars="0"/>
              <w:jc w:val="left"/>
            </w:pPr>
            <w:r>
              <w:rPr>
                <w:rFonts w:hint="eastAsia"/>
              </w:rPr>
              <w:t>跨采样率兼容</w:t>
            </w:r>
          </w:p>
        </w:tc>
        <w:tc>
          <w:tcPr>
            <w:tcW w:w="6964" w:type="dxa"/>
            <w:vAlign w:val="center"/>
          </w:tcPr>
          <w:p w14:paraId="7A681946">
            <w:pPr>
              <w:pStyle w:val="24"/>
              <w:snapToGrid w:val="0"/>
              <w:spacing w:line="240" w:lineRule="auto"/>
              <w:ind w:left="0" w:leftChars="0" w:right="0" w:rightChars="0" w:firstLine="0" w:firstLineChars="0"/>
              <w:jc w:val="left"/>
            </w:pPr>
            <w:r>
              <w:t xml:space="preserve">256 </w:t>
            </w:r>
            <w:r>
              <w:rPr>
                <w:rFonts w:hint="eastAsia"/>
              </w:rPr>
              <w:t>点与</w:t>
            </w:r>
            <w:r>
              <w:t xml:space="preserve"> 512 </w:t>
            </w:r>
            <w:r>
              <w:rPr>
                <w:rFonts w:hint="eastAsia"/>
              </w:rPr>
              <w:t>点样本识别一致性、特征保持率、模型泛化能力</w:t>
            </w:r>
          </w:p>
        </w:tc>
      </w:tr>
      <w:tr w14:paraId="24AFD8D7">
        <w:trPr>
          <w:trHeight w:val="0" w:hRule="atLeast"/>
          <w:jc w:val="center"/>
        </w:trPr>
        <w:tc>
          <w:tcPr>
            <w:tcW w:w="1892" w:type="dxa"/>
            <w:vAlign w:val="center"/>
          </w:tcPr>
          <w:p w14:paraId="2D404DD8">
            <w:pPr>
              <w:pStyle w:val="24"/>
              <w:snapToGrid w:val="0"/>
              <w:spacing w:line="240" w:lineRule="auto"/>
              <w:ind w:left="0" w:leftChars="0" w:right="0" w:rightChars="0" w:firstLine="0" w:firstLineChars="0"/>
              <w:jc w:val="left"/>
            </w:pPr>
            <w:r>
              <w:rPr>
                <w:rFonts w:hint="eastAsia"/>
              </w:rPr>
              <w:t>风险预测</w:t>
            </w:r>
          </w:p>
        </w:tc>
        <w:tc>
          <w:tcPr>
            <w:tcW w:w="6964" w:type="dxa"/>
            <w:vAlign w:val="center"/>
          </w:tcPr>
          <w:p w14:paraId="5C8BAC20">
            <w:pPr>
              <w:pStyle w:val="24"/>
              <w:snapToGrid w:val="0"/>
              <w:spacing w:line="240" w:lineRule="auto"/>
              <w:ind w:left="0" w:leftChars="0" w:right="0" w:rightChars="0" w:firstLine="0" w:firstLineChars="0"/>
              <w:jc w:val="left"/>
            </w:pPr>
            <w:r>
              <w:rPr>
                <w:rFonts w:hint="eastAsia"/>
              </w:rPr>
              <w:t>提前量、命中率、误报率、风险排序准确性</w:t>
            </w:r>
          </w:p>
        </w:tc>
      </w:tr>
      <w:tr w14:paraId="72A5AB1E">
        <w:trPr>
          <w:trHeight w:val="0" w:hRule="atLeast"/>
          <w:jc w:val="center"/>
        </w:trPr>
        <w:tc>
          <w:tcPr>
            <w:tcW w:w="1892" w:type="dxa"/>
            <w:vAlign w:val="center"/>
          </w:tcPr>
          <w:p w14:paraId="0E9B73CC">
            <w:pPr>
              <w:pStyle w:val="24"/>
              <w:snapToGrid w:val="0"/>
              <w:spacing w:line="240" w:lineRule="auto"/>
              <w:ind w:left="0" w:leftChars="0" w:right="0" w:rightChars="0" w:firstLine="0" w:firstLineChars="0"/>
              <w:jc w:val="left"/>
            </w:pPr>
            <w:r>
              <w:rPr>
                <w:rFonts w:hint="eastAsia"/>
              </w:rPr>
              <w:t>波形压缩</w:t>
            </w:r>
          </w:p>
        </w:tc>
        <w:tc>
          <w:tcPr>
            <w:tcW w:w="6964" w:type="dxa"/>
            <w:vAlign w:val="center"/>
          </w:tcPr>
          <w:p w14:paraId="215D7B0C">
            <w:pPr>
              <w:pStyle w:val="24"/>
              <w:snapToGrid w:val="0"/>
              <w:spacing w:line="240" w:lineRule="auto"/>
              <w:ind w:left="0" w:leftChars="0" w:right="0" w:rightChars="0" w:firstLine="0" w:firstLineChars="0"/>
              <w:jc w:val="left"/>
            </w:pPr>
            <w:r>
              <w:rPr>
                <w:rFonts w:hint="eastAsia"/>
              </w:rPr>
              <w:t>压缩比、关键事件保留率、回放完整性</w:t>
            </w:r>
          </w:p>
        </w:tc>
      </w:tr>
      <w:tr w14:paraId="02BEE6F7">
        <w:trPr>
          <w:trHeight w:val="0" w:hRule="atLeast"/>
          <w:jc w:val="center"/>
        </w:trPr>
        <w:tc>
          <w:tcPr>
            <w:tcW w:w="1892" w:type="dxa"/>
            <w:vAlign w:val="center"/>
          </w:tcPr>
          <w:p w14:paraId="3F84289D">
            <w:pPr>
              <w:pStyle w:val="24"/>
              <w:snapToGrid w:val="0"/>
              <w:spacing w:line="240" w:lineRule="auto"/>
              <w:ind w:left="0" w:leftChars="0" w:right="0" w:rightChars="0" w:firstLine="0" w:firstLineChars="0"/>
              <w:jc w:val="left"/>
            </w:pPr>
            <w:r>
              <w:rPr>
                <w:rFonts w:hint="eastAsia"/>
              </w:rPr>
              <w:t>报告生成</w:t>
            </w:r>
          </w:p>
        </w:tc>
        <w:tc>
          <w:tcPr>
            <w:tcW w:w="6964" w:type="dxa"/>
            <w:vAlign w:val="center"/>
          </w:tcPr>
          <w:p w14:paraId="71D6BBEC">
            <w:pPr>
              <w:pStyle w:val="24"/>
              <w:snapToGrid w:val="0"/>
              <w:spacing w:line="240" w:lineRule="auto"/>
              <w:ind w:left="0" w:leftChars="0" w:right="0" w:rightChars="0" w:firstLine="0" w:firstLineChars="0"/>
              <w:jc w:val="left"/>
            </w:pPr>
            <w:r>
              <w:rPr>
                <w:rFonts w:hint="eastAsia"/>
              </w:rPr>
              <w:t>事实一致性、结论可解释性、人工修改率</w:t>
            </w:r>
          </w:p>
        </w:tc>
      </w:tr>
      <w:tr w14:paraId="54E5CD24">
        <w:trPr>
          <w:trHeight w:val="0" w:hRule="atLeast"/>
          <w:jc w:val="center"/>
        </w:trPr>
        <w:tc>
          <w:tcPr>
            <w:tcW w:w="1892" w:type="dxa"/>
            <w:vAlign w:val="center"/>
          </w:tcPr>
          <w:p w14:paraId="618F5003">
            <w:pPr>
              <w:pStyle w:val="24"/>
              <w:snapToGrid w:val="0"/>
              <w:spacing w:line="240" w:lineRule="auto"/>
              <w:ind w:left="0" w:leftChars="0" w:right="0" w:rightChars="0" w:firstLine="0" w:firstLineChars="0"/>
              <w:jc w:val="left"/>
            </w:pPr>
            <w:r>
              <w:rPr>
                <w:rFonts w:hint="eastAsia"/>
              </w:rPr>
              <w:t>端侧部署</w:t>
            </w:r>
          </w:p>
        </w:tc>
        <w:tc>
          <w:tcPr>
            <w:tcW w:w="6964" w:type="dxa"/>
            <w:vAlign w:val="center"/>
          </w:tcPr>
          <w:p w14:paraId="53E79E2C">
            <w:pPr>
              <w:pStyle w:val="24"/>
              <w:snapToGrid w:val="0"/>
              <w:spacing w:line="240" w:lineRule="auto"/>
              <w:ind w:left="0" w:leftChars="0" w:right="0" w:rightChars="0" w:firstLine="0" w:firstLineChars="0"/>
              <w:jc w:val="left"/>
            </w:pPr>
            <w:r>
              <w:rPr>
                <w:rFonts w:hint="eastAsia"/>
              </w:rPr>
              <w:t>推理耗时、CPU/内存占用、稳定性</w:t>
            </w:r>
          </w:p>
        </w:tc>
      </w:tr>
      <w:bookmarkEnd w:id="64"/>
      <w:bookmarkEnd w:id="81"/>
    </w:tbl>
    <w:p w14:paraId="1C3F12A3">
      <w:pPr>
        <w:pStyle w:val="2"/>
        <w:widowControl/>
        <w:numPr>
          <w:ilvl w:val="0"/>
          <w:numId w:val="1"/>
        </w:numPr>
        <w:ind w:left="0" w:leftChars="0" w:firstLine="0" w:firstLineChars="0"/>
        <w:rPr>
          <w:b w:val="0"/>
          <w:bdr w:val="none" w:sz="0" w:space="0"/>
        </w:rPr>
      </w:pPr>
      <w:bookmarkStart w:id="82" w:name="ux7cfbux7edfux5b9eux65bdux601dux8def"/>
      <w:r>
        <w:t>系统实施思路</w:t>
      </w:r>
    </w:p>
    <w:p w14:paraId="124CAD52">
      <w:pPr>
        <w:pStyle w:val="4"/>
        <w:widowControl/>
        <w:numPr>
          <w:ilvl w:val="0"/>
          <w:numId w:val="11"/>
        </w:numPr>
        <w:ind w:left="0" w:leftChars="0" w:firstLine="0" w:firstLineChars="0"/>
        <w:rPr>
          <w:b w:val="0"/>
          <w:bdr w:val="none" w:sz="0" w:space="0"/>
        </w:rPr>
      </w:pPr>
      <w:bookmarkStart w:id="83" w:name="ux603bux4f53ux67b6ux6784"/>
      <w:r>
        <w:t>总体架构</w:t>
      </w:r>
    </w:p>
    <w:p w14:paraId="0BDE0226">
      <w:pPr>
        <w:pStyle w:val="3"/>
        <w:rPr>
          <w:rFonts w:ascii="Times New Roman" w:hAnsi="Times New Roman" w:eastAsia="宋体" w:cs="Times New Roman"/>
          <w:sz w:val="24"/>
          <w:szCs w:val="24"/>
        </w:rPr>
      </w:pPr>
      <w:r>
        <w:rPr>
          <w:rFonts w:ascii="Times New Roman" w:hAnsi="Times New Roman" w:eastAsia="宋体" w:cs="Times New Roman"/>
          <w:sz w:val="24"/>
          <w:szCs w:val="24"/>
        </w:rPr>
        <w:t>建议采用“智能融合终端 + 专变/ECU 终端 + 终端厂家 AI 训练平台 + AI 模型服务 + 大模型应用”的协同架构。</w:t>
      </w:r>
    </w:p>
    <w:bookmarkEnd w:id="83"/>
    <w:p w14:paraId="79B21254">
      <w:pPr>
        <w:pStyle w:val="4"/>
        <w:widowControl/>
        <w:numPr>
          <w:ilvl w:val="0"/>
          <w:numId w:val="11"/>
        </w:numPr>
        <w:ind w:left="0" w:leftChars="0" w:firstLine="0" w:firstLineChars="0"/>
        <w:rPr>
          <w:b w:val="0"/>
          <w:bdr w:val="none" w:sz="0" w:space="0"/>
        </w:rPr>
      </w:pPr>
      <w:bookmarkStart w:id="84" w:name="X6a0b7f4405b074a6c1b156ca1cb1d5d6becddbf"/>
      <w:r>
        <w:t>终端侧实施内容</w:t>
      </w:r>
    </w:p>
    <w:p w14:paraId="508EA27F">
      <w:pPr>
        <w:pStyle w:val="3"/>
        <w:rPr>
          <w:rFonts w:ascii="Times New Roman" w:hAnsi="Times New Roman" w:eastAsia="宋体" w:cs="Times New Roman"/>
          <w:sz w:val="24"/>
          <w:szCs w:val="24"/>
        </w:rPr>
      </w:pPr>
      <w:r>
        <w:rPr>
          <w:rFonts w:ascii="Times New Roman" w:hAnsi="Times New Roman" w:eastAsia="宋体" w:cs="Times New Roman"/>
          <w:sz w:val="24"/>
          <w:szCs w:val="24"/>
        </w:rPr>
        <w:t>终端侧重点承担实时采集、标准计算、事件触发、特征提取和轻量推理。两类终端应按各自采样能力和部署场景实现差异化功能，同时遵循统一数据接口。</w:t>
      </w:r>
    </w:p>
    <w:p w14:paraId="2E012EB9">
      <w:pPr>
        <w:pStyle w:val="3"/>
        <w:widowControl/>
        <w:rPr>
          <w:rFonts w:ascii="Times New Roman" w:hAnsi="Times New Roman" w:eastAsia="宋体" w:cs="Times New Roman"/>
          <w:sz w:val="24"/>
          <w:szCs w:val="24"/>
        </w:rPr>
      </w:pPr>
      <w:bookmarkStart w:id="85" w:name="ux5fc5ux5907ux80fdux529b"/>
      <w:r>
        <w:rPr>
          <w:rFonts w:ascii="Times New Roman" w:hAnsi="Times New Roman" w:eastAsia="宋体" w:cs="Times New Roman"/>
          <w:sz w:val="24"/>
          <w:szCs w:val="24"/>
        </w:rPr>
        <w:t>必备能力</w:t>
      </w:r>
    </w:p>
    <w:p w14:paraId="4C4D54E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智能融合终端支持电压、电流每周波 256 点采样；</w:t>
      </w:r>
    </w:p>
    <w:p w14:paraId="7E20BF3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专变/ECU 终端支持电压、电流每周波 512 点采样，并可关联专变用户侧设备状态量；</w:t>
      </w:r>
    </w:p>
    <w:p w14:paraId="1FF4E4F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支持三相同步采样；</w:t>
      </w:r>
    </w:p>
    <w:p w14:paraId="119140E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支持基础电能质量指标计算；</w:t>
      </w:r>
    </w:p>
    <w:p w14:paraId="46CE33F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支持事件触发和波形冻结；</w:t>
      </w:r>
    </w:p>
    <w:p w14:paraId="1AD99DF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支持事件前后波形缓存；</w:t>
      </w:r>
    </w:p>
    <w:p w14:paraId="03A3224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支持边缘特征提取；</w:t>
      </w:r>
    </w:p>
    <w:p w14:paraId="4C28546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支持异常摘要生成；</w:t>
      </w:r>
    </w:p>
    <w:p w14:paraId="49E8813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支持模型参数和规则远程升级；</w:t>
      </w:r>
    </w:p>
    <w:p w14:paraId="484964C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支持数据断点续传和本地缓存；</w:t>
      </w:r>
    </w:p>
    <w:bookmarkEnd w:id="85"/>
    <w:p w14:paraId="23FEEF80">
      <w:pPr>
        <w:pStyle w:val="3"/>
        <w:widowControl/>
        <w:rPr>
          <w:rFonts w:ascii="Times New Roman" w:hAnsi="Times New Roman" w:eastAsia="宋体" w:cs="Times New Roman"/>
          <w:sz w:val="24"/>
          <w:szCs w:val="24"/>
        </w:rPr>
      </w:pPr>
      <w:bookmarkStart w:id="86" w:name="ux63a8ux8350ux80fdux529b"/>
      <w:r>
        <w:rPr>
          <w:rFonts w:ascii="Times New Roman" w:hAnsi="Times New Roman" w:eastAsia="宋体" w:cs="Times New Roman"/>
          <w:sz w:val="24"/>
          <w:szCs w:val="24"/>
        </w:rPr>
        <w:t>推荐能力</w:t>
      </w:r>
    </w:p>
    <w:p w14:paraId="5F9CD34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支持轻量异常检测模型；</w:t>
      </w:r>
    </w:p>
    <w:p w14:paraId="45D067C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支持事件初步分类；</w:t>
      </w:r>
    </w:p>
    <w:p w14:paraId="315EBF1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支持上传优先级控制；</w:t>
      </w:r>
    </w:p>
    <w:p w14:paraId="6BAFE10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支持本地样本脱敏；</w:t>
      </w:r>
    </w:p>
    <w:p w14:paraId="708A9CA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支持端侧模型版本管理；</w:t>
      </w:r>
    </w:p>
    <w:p w14:paraId="2FE193E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支持远程配置不同台区和专变用户的采样和上传策略；</w:t>
      </w:r>
    </w:p>
    <w:p w14:paraId="1DF62B9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 256 点/周波与 512 点/周波模型参数差异化配置。</w:t>
      </w:r>
    </w:p>
    <w:bookmarkEnd w:id="84"/>
    <w:bookmarkEnd w:id="86"/>
    <w:p w14:paraId="6C9C8B5A">
      <w:pPr>
        <w:pStyle w:val="4"/>
        <w:widowControl/>
        <w:numPr>
          <w:ilvl w:val="0"/>
          <w:numId w:val="11"/>
        </w:numPr>
        <w:ind w:left="0" w:leftChars="0" w:firstLine="0" w:firstLineChars="0"/>
        <w:rPr>
          <w:b w:val="0"/>
          <w:bdr w:val="none" w:sz="0" w:space="0"/>
        </w:rPr>
      </w:pPr>
      <w:bookmarkStart w:id="87" w:name="X46b3b6fc0fdc587f668100ad7cab45aba66706d"/>
      <w:r>
        <w:t>训练平台侧实施内容</w:t>
      </w:r>
    </w:p>
    <w:p w14:paraId="710F876C">
      <w:pPr>
        <w:pStyle w:val="3"/>
        <w:rPr>
          <w:rFonts w:ascii="Times New Roman" w:hAnsi="Times New Roman" w:eastAsia="宋体" w:cs="Times New Roman"/>
          <w:sz w:val="24"/>
          <w:szCs w:val="24"/>
        </w:rPr>
      </w:pPr>
      <w:r>
        <w:rPr>
          <w:rFonts w:ascii="Times New Roman" w:hAnsi="Times New Roman" w:eastAsia="宋体" w:cs="Times New Roman"/>
          <w:sz w:val="24"/>
          <w:szCs w:val="24"/>
        </w:rPr>
        <w:t>训练平台侧重点承担数据治理、模型训练、业务应用和大模型服务。该训练平台由终端厂家建设和维护，用于支撑两类终端的数据管理、模型训练、模型评估、模型发布和持续迭代。</w:t>
      </w:r>
    </w:p>
    <w:p w14:paraId="1D1908EC">
      <w:pPr>
        <w:pStyle w:val="3"/>
        <w:widowControl/>
        <w:rPr>
          <w:rFonts w:ascii="Times New Roman" w:hAnsi="Times New Roman" w:eastAsia="宋体" w:cs="Times New Roman"/>
          <w:sz w:val="24"/>
          <w:szCs w:val="24"/>
        </w:rPr>
      </w:pPr>
      <w:bookmarkStart w:id="88" w:name="X1d72cbb8f754e4a7b0297f13a038443cd984b51"/>
      <w:r>
        <w:rPr>
          <w:rFonts w:ascii="Times New Roman" w:hAnsi="Times New Roman" w:eastAsia="宋体" w:cs="Times New Roman"/>
          <w:sz w:val="24"/>
          <w:szCs w:val="24"/>
        </w:rPr>
        <w:t>数据与样本管理</w:t>
      </w:r>
    </w:p>
    <w:p w14:paraId="2F7FBAA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波形数据接入；</w:t>
      </w:r>
    </w:p>
    <w:p w14:paraId="21B4F2F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指标数据接入；</w:t>
      </w:r>
    </w:p>
    <w:p w14:paraId="22DB1F4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事件数据接入；</w:t>
      </w:r>
    </w:p>
    <w:p w14:paraId="599F8C3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台区档案接入；</w:t>
      </w:r>
    </w:p>
    <w:p w14:paraId="7831E92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专变用户档案接入；</w:t>
      </w:r>
    </w:p>
    <w:p w14:paraId="068C4F8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专变设备档案接入；</w:t>
      </w:r>
    </w:p>
    <w:p w14:paraId="2A72F02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运维工单接入；</w:t>
      </w:r>
    </w:p>
    <w:p w14:paraId="1C14454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数据质量监控；</w:t>
      </w:r>
    </w:p>
    <w:p w14:paraId="716FBFD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样本管理；</w:t>
      </w:r>
    </w:p>
    <w:p w14:paraId="36D4162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标签管理；</w:t>
      </w:r>
    </w:p>
    <w:p w14:paraId="404B58A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权限和审计管理。</w:t>
      </w:r>
    </w:p>
    <w:bookmarkEnd w:id="88"/>
    <w:p w14:paraId="765E1DF1">
      <w:pPr>
        <w:pStyle w:val="5"/>
        <w:widowControl/>
      </w:pPr>
      <w:bookmarkStart w:id="89" w:name="ai-ux8badux7ec3ux5e73ux53f0"/>
      <w:r>
        <w:t>AI 训练平台</w:t>
      </w:r>
    </w:p>
    <w:p w14:paraId="581E11A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特征计算；</w:t>
      </w:r>
    </w:p>
    <w:p w14:paraId="6C3B2C7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模型训练；</w:t>
      </w:r>
    </w:p>
    <w:p w14:paraId="33F4A12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模型评估；</w:t>
      </w:r>
    </w:p>
    <w:p w14:paraId="28736A6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模型发布；</w:t>
      </w:r>
    </w:p>
    <w:p w14:paraId="44D9852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模型回滚；</w:t>
      </w:r>
    </w:p>
    <w:p w14:paraId="260C754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在线推理；</w:t>
      </w:r>
    </w:p>
    <w:p w14:paraId="3321F62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预测结果存储；</w:t>
      </w:r>
    </w:p>
    <w:p w14:paraId="204BE02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模型效果监测。</w:t>
      </w:r>
    </w:p>
    <w:bookmarkEnd w:id="89"/>
    <w:p w14:paraId="685E5D18">
      <w:pPr>
        <w:pStyle w:val="5"/>
        <w:widowControl/>
      </w:pPr>
      <w:bookmarkStart w:id="90" w:name="ux4e1aux52a1ux5e94ux7528"/>
      <w:r>
        <w:t>业务应用</w:t>
      </w:r>
    </w:p>
    <w:p w14:paraId="5A4C4FE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台区电能质量看板；</w:t>
      </w:r>
    </w:p>
    <w:p w14:paraId="7F3037F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专变用户电能质量看板；</w:t>
      </w:r>
    </w:p>
    <w:p w14:paraId="1FD6DF6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专变用户侧扰动看板；</w:t>
      </w:r>
    </w:p>
    <w:p w14:paraId="618E5F0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事件诊断页面；</w:t>
      </w:r>
    </w:p>
    <w:p w14:paraId="5D3FB27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波形回放页面；</w:t>
      </w:r>
    </w:p>
    <w:p w14:paraId="71BEC3E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扰动源分析页面；</w:t>
      </w:r>
    </w:p>
    <w:p w14:paraId="78252D2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台区和专变用户健康画像；</w:t>
      </w:r>
    </w:p>
    <w:p w14:paraId="10B1E44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跨终端事件关联页面；</w:t>
      </w:r>
    </w:p>
    <w:p w14:paraId="7452700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新能源承载能力评估；</w:t>
      </w:r>
    </w:p>
    <w:p w14:paraId="2758F30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隐患预警；</w:t>
      </w:r>
    </w:p>
    <w:p w14:paraId="3FE89B8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自动报告；</w:t>
      </w:r>
    </w:p>
    <w:p w14:paraId="2BA1D99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工单联动。</w:t>
      </w:r>
    </w:p>
    <w:bookmarkEnd w:id="87"/>
    <w:bookmarkEnd w:id="90"/>
    <w:p w14:paraId="6C879008">
      <w:pPr>
        <w:pStyle w:val="4"/>
        <w:widowControl/>
        <w:numPr>
          <w:ilvl w:val="0"/>
          <w:numId w:val="11"/>
        </w:numPr>
        <w:ind w:left="0" w:leftChars="0" w:firstLine="0" w:firstLineChars="0"/>
        <w:rPr>
          <w:b w:val="0"/>
          <w:bdr w:val="none" w:sz="0" w:space="0"/>
        </w:rPr>
      </w:pPr>
      <w:bookmarkStart w:id="91" w:name="Xf4a642bffb4e77c2d2808d0525c1ff98c320364"/>
      <w:r>
        <w:t>大模型实施内容</w:t>
      </w:r>
    </w:p>
    <w:p w14:paraId="63DCE58F">
      <w:pPr>
        <w:pStyle w:val="3"/>
        <w:rPr>
          <w:rFonts w:ascii="Times New Roman" w:hAnsi="Times New Roman" w:eastAsia="宋体" w:cs="Times New Roman"/>
          <w:sz w:val="24"/>
          <w:szCs w:val="24"/>
        </w:rPr>
      </w:pPr>
      <w:r>
        <w:rPr>
          <w:rFonts w:ascii="Times New Roman" w:hAnsi="Times New Roman" w:eastAsia="宋体" w:cs="Times New Roman"/>
          <w:sz w:val="24"/>
          <w:szCs w:val="24"/>
        </w:rPr>
        <w:t>大模型宜部署在终端厂家训练平台或配套服务环境中，不建议直接部署在资源受限的终端侧。大模型通过工具调用和检索增强方式访问训练平台内的业务数据。</w:t>
      </w:r>
    </w:p>
    <w:p w14:paraId="3DE0CD87">
      <w:pPr>
        <w:pStyle w:val="5"/>
        <w:widowControl/>
      </w:pPr>
      <w:bookmarkStart w:id="92" w:name="ux77e5ux8bc6ux5e93ux5efaux8bbe"/>
      <w:r>
        <w:t>知识库建设</w:t>
      </w:r>
    </w:p>
    <w:p w14:paraId="3025BED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电能质量标准知识；</w:t>
      </w:r>
    </w:p>
    <w:p w14:paraId="0DB2C05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设备运维规程；</w:t>
      </w:r>
    </w:p>
    <w:p w14:paraId="52D38FC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典型事件案例；</w:t>
      </w:r>
    </w:p>
    <w:p w14:paraId="5E1046C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台区、专变用户侧治理措施；</w:t>
      </w:r>
    </w:p>
    <w:p w14:paraId="67420D5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常见故障模式；</w:t>
      </w:r>
    </w:p>
    <w:p w14:paraId="6384CEE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终端算法说明；</w:t>
      </w:r>
    </w:p>
    <w:p w14:paraId="05D129B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业务问答模板。</w:t>
      </w:r>
    </w:p>
    <w:bookmarkEnd w:id="92"/>
    <w:p w14:paraId="1DE32429">
      <w:pPr>
        <w:pStyle w:val="5"/>
        <w:widowControl/>
      </w:pPr>
      <w:bookmarkStart w:id="93" w:name="ux5de5ux5177ux80fdux529b"/>
      <w:r>
        <w:t>工具能力</w:t>
      </w:r>
    </w:p>
    <w:p w14:paraId="6A0018ED">
      <w:pPr>
        <w:pStyle w:val="3"/>
        <w:rPr>
          <w:rFonts w:ascii="Times New Roman" w:hAnsi="Times New Roman" w:eastAsia="宋体" w:cs="Times New Roman"/>
          <w:sz w:val="24"/>
          <w:szCs w:val="24"/>
        </w:rPr>
      </w:pPr>
      <w:r>
        <w:rPr>
          <w:rFonts w:ascii="Times New Roman" w:hAnsi="Times New Roman" w:eastAsia="宋体" w:cs="Times New Roman"/>
          <w:sz w:val="24"/>
          <w:szCs w:val="24"/>
        </w:rPr>
        <w:t>大模型应能够调用以下工具或接口：</w:t>
      </w:r>
    </w:p>
    <w:p w14:paraId="43C6B6A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查询台区、专变用户侧指标；</w:t>
      </w:r>
    </w:p>
    <w:p w14:paraId="7987459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查询事件列表；</w:t>
      </w:r>
    </w:p>
    <w:p w14:paraId="43772EA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查询波形摘要；</w:t>
      </w:r>
    </w:p>
    <w:p w14:paraId="20E22E2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查询跨终端关联事件；</w:t>
      </w:r>
    </w:p>
    <w:p w14:paraId="377BA6D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查询历史报告；</w:t>
      </w:r>
    </w:p>
    <w:p w14:paraId="6DC3A8A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查询相似案例；</w:t>
      </w:r>
    </w:p>
    <w:p w14:paraId="1DD7764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查询治理记录；</w:t>
      </w:r>
    </w:p>
    <w:p w14:paraId="05F143A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生成报告；</w:t>
      </w:r>
    </w:p>
    <w:p w14:paraId="5D90D69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生成工单建议。</w:t>
      </w:r>
    </w:p>
    <w:bookmarkEnd w:id="93"/>
    <w:p w14:paraId="3FBC118E">
      <w:pPr>
        <w:pStyle w:val="5"/>
        <w:widowControl/>
      </w:pPr>
      <w:bookmarkStart w:id="94" w:name="ux8f93ux51faux63a7ux5236"/>
      <w:r>
        <w:t>输出控制</w:t>
      </w:r>
    </w:p>
    <w:p w14:paraId="174134C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对事实性结论必须引用数据来源；</w:t>
      </w:r>
    </w:p>
    <w:p w14:paraId="7805A0D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对推测性结论应给出置信度；</w:t>
      </w:r>
    </w:p>
    <w:p w14:paraId="535802D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对无法判断的情况应明确说明；</w:t>
      </w:r>
    </w:p>
    <w:p w14:paraId="7FAFBB7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对重要结论应保留人工确认；</w:t>
      </w:r>
    </w:p>
    <w:p w14:paraId="32D3CE5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报告生成应支持模板化和人工编辑。</w:t>
      </w:r>
    </w:p>
    <w:bookmarkEnd w:id="82"/>
    <w:bookmarkEnd w:id="91"/>
    <w:bookmarkEnd w:id="94"/>
    <w:p w14:paraId="240AB4E8">
      <w:pPr>
        <w:pStyle w:val="2"/>
        <w:widowControl/>
        <w:numPr>
          <w:ilvl w:val="0"/>
          <w:numId w:val="1"/>
        </w:numPr>
        <w:ind w:left="0" w:leftChars="0" w:firstLine="0" w:firstLineChars="0"/>
        <w:rPr>
          <w:b w:val="0"/>
          <w:bdr w:val="none" w:sz="0" w:space="0"/>
        </w:rPr>
      </w:pPr>
      <w:bookmarkStart w:id="95" w:name="X5a6b7605651e5bc877b2df783449a1f7e019fe4"/>
      <w:r>
        <w:t>子项课题建议分工</w:t>
      </w:r>
    </w:p>
    <w:p w14:paraId="0289D1DC">
      <w:pPr>
        <w:pStyle w:val="4"/>
        <w:widowControl/>
      </w:pPr>
      <w:bookmarkStart w:id="96" w:name="X230c9548233acf648fac9e304786e4abb6170b9"/>
      <w:r>
        <w:t>子项一：多终端电能质量标准算法与边缘特征提取</w:t>
      </w:r>
    </w:p>
    <w:p w14:paraId="20380531">
      <w:pPr>
        <w:pStyle w:val="5"/>
        <w:widowControl/>
      </w:pPr>
      <w:bookmarkStart w:id="97" w:name="ux7814ux7a76ux5185ux5bb9"/>
      <w:r>
        <w:t>研究内容</w:t>
      </w:r>
    </w:p>
    <w:p w14:paraId="725F987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梳理 12 项现有电能质量算法；</w:t>
      </w:r>
    </w:p>
    <w:p w14:paraId="469E319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统一智能融合终端和专变/ECU 终端侧指标计算结果格式；</w:t>
      </w:r>
    </w:p>
    <w:p w14:paraId="5C0CE87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明确智能融合终端 256 点/周波、专变/ECU 终端 512 点/周波的采样差异处理方法；</w:t>
      </w:r>
    </w:p>
    <w:p w14:paraId="51F6458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设计波形切片和特征提取方法；</w:t>
      </w:r>
    </w:p>
    <w:p w14:paraId="5B4BFD0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实现事件前后波形冻结；</w:t>
      </w:r>
    </w:p>
    <w:p w14:paraId="62A3721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建立边缘特征上传机制。</w:t>
      </w:r>
    </w:p>
    <w:bookmarkEnd w:id="97"/>
    <w:p w14:paraId="438B6488">
      <w:pPr>
        <w:pStyle w:val="3"/>
        <w:widowControl/>
        <w:rPr>
          <w:rFonts w:ascii="Times New Roman" w:hAnsi="Times New Roman" w:eastAsia="宋体" w:cs="Times New Roman"/>
          <w:sz w:val="24"/>
          <w:szCs w:val="24"/>
        </w:rPr>
      </w:pPr>
      <w:bookmarkStart w:id="98" w:name="ux7275ux5934ux5efaux8bae"/>
      <w:r>
        <w:rPr>
          <w:rFonts w:ascii="Times New Roman" w:hAnsi="Times New Roman" w:eastAsia="宋体" w:cs="Times New Roman"/>
          <w:sz w:val="24"/>
          <w:szCs w:val="24"/>
        </w:rPr>
        <w:t>牵头建议</w:t>
      </w:r>
    </w:p>
    <w:p w14:paraId="710F07A0">
      <w:pPr>
        <w:pStyle w:val="3"/>
        <w:rPr>
          <w:rFonts w:ascii="Times New Roman" w:hAnsi="Times New Roman" w:eastAsia="宋体" w:cs="Times New Roman"/>
          <w:sz w:val="24"/>
          <w:szCs w:val="24"/>
        </w:rPr>
      </w:pPr>
      <w:r>
        <w:rPr>
          <w:rFonts w:ascii="Times New Roman" w:hAnsi="Times New Roman" w:eastAsia="宋体" w:cs="Times New Roman"/>
          <w:sz w:val="24"/>
          <w:szCs w:val="24"/>
        </w:rPr>
        <w:t>智能融合终端和专变/ECU 终端研发单位共同参与，可由终端协同接口单位或牵头单位组织协调，算法单位参与。</w:t>
      </w:r>
    </w:p>
    <w:bookmarkEnd w:id="98"/>
    <w:p w14:paraId="52411EB5">
      <w:pPr>
        <w:pStyle w:val="3"/>
        <w:widowControl/>
        <w:rPr>
          <w:rFonts w:ascii="Times New Roman" w:hAnsi="Times New Roman" w:eastAsia="宋体" w:cs="Times New Roman"/>
          <w:sz w:val="24"/>
          <w:szCs w:val="24"/>
        </w:rPr>
      </w:pPr>
      <w:bookmarkStart w:id="99" w:name="ux4ea4ux4ed8ux7269"/>
      <w:r>
        <w:rPr>
          <w:rFonts w:ascii="Times New Roman" w:hAnsi="Times New Roman" w:eastAsia="宋体" w:cs="Times New Roman"/>
          <w:sz w:val="24"/>
          <w:szCs w:val="24"/>
        </w:rPr>
        <w:t>交付物</w:t>
      </w:r>
    </w:p>
    <w:p w14:paraId="6A1703F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两类终端侧算法说明书；</w:t>
      </w:r>
    </w:p>
    <w:p w14:paraId="0F1271C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特征提取接口规范；</w:t>
      </w:r>
    </w:p>
    <w:p w14:paraId="1483A62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事件数据格式；</w:t>
      </w:r>
    </w:p>
    <w:p w14:paraId="7C11B0B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智能融合终端和专变/ECU 终端样机或软件版本。</w:t>
      </w:r>
    </w:p>
    <w:bookmarkEnd w:id="96"/>
    <w:bookmarkEnd w:id="99"/>
    <w:p w14:paraId="20CD3175">
      <w:pPr>
        <w:pStyle w:val="4"/>
        <w:widowControl/>
      </w:pPr>
      <w:bookmarkStart w:id="100" w:name="X911ed4188050464319f8b2126fe37ffe275b86d"/>
      <w:r>
        <w:t>子项二：电能质量事件智能识别模型</w:t>
      </w:r>
    </w:p>
    <w:p w14:paraId="2021E696">
      <w:pPr>
        <w:pStyle w:val="3"/>
        <w:widowControl/>
        <w:rPr>
          <w:rFonts w:ascii="Times New Roman" w:hAnsi="Times New Roman" w:eastAsia="宋体" w:cs="Times New Roman"/>
          <w:sz w:val="24"/>
          <w:szCs w:val="24"/>
        </w:rPr>
      </w:pPr>
      <w:bookmarkStart w:id="101" w:name="ux7814ux7a76ux5185ux5bb9-1"/>
      <w:r>
        <w:rPr>
          <w:rFonts w:ascii="Times New Roman" w:hAnsi="Times New Roman" w:eastAsia="宋体" w:cs="Times New Roman"/>
          <w:sz w:val="24"/>
          <w:szCs w:val="24"/>
        </w:rPr>
        <w:t>研究内容</w:t>
      </w:r>
    </w:p>
    <w:p w14:paraId="08490BA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建立事件样本库；</w:t>
      </w:r>
    </w:p>
    <w:p w14:paraId="3822A6D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完成事件类型标签体系；</w:t>
      </w:r>
    </w:p>
    <w:p w14:paraId="6C86751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训练异常检测和事件分类模型；</w:t>
      </w:r>
    </w:p>
    <w:p w14:paraId="5A43DD9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支持暂升、暂降、中断、谐波异常、冲击负荷等识别；</w:t>
      </w:r>
    </w:p>
    <w:p w14:paraId="2D421BB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支持 256 点/周波与 512 点/周波样本训练和评估；</w:t>
      </w:r>
    </w:p>
    <w:p w14:paraId="1B6B823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完成模型评估和端侧适配。</w:t>
      </w:r>
    </w:p>
    <w:bookmarkEnd w:id="101"/>
    <w:p w14:paraId="60EC0FE1">
      <w:pPr>
        <w:pStyle w:val="3"/>
        <w:widowControl/>
        <w:rPr>
          <w:rFonts w:ascii="Times New Roman" w:hAnsi="Times New Roman" w:eastAsia="宋体" w:cs="Times New Roman"/>
          <w:sz w:val="24"/>
          <w:szCs w:val="24"/>
        </w:rPr>
      </w:pPr>
      <w:bookmarkStart w:id="102" w:name="ux7275ux5934ux5efaux8bae-1"/>
      <w:r>
        <w:rPr>
          <w:rFonts w:ascii="Times New Roman" w:hAnsi="Times New Roman" w:eastAsia="宋体" w:cs="Times New Roman"/>
          <w:sz w:val="24"/>
          <w:szCs w:val="24"/>
        </w:rPr>
        <w:t>牵头建议</w:t>
      </w:r>
    </w:p>
    <w:p w14:paraId="7F08729A">
      <w:pPr>
        <w:pStyle w:val="3"/>
        <w:rPr>
          <w:rFonts w:ascii="Times New Roman" w:hAnsi="Times New Roman" w:eastAsia="宋体" w:cs="Times New Roman"/>
          <w:sz w:val="24"/>
          <w:szCs w:val="24"/>
        </w:rPr>
      </w:pPr>
      <w:r>
        <w:rPr>
          <w:rFonts w:ascii="Times New Roman" w:hAnsi="Times New Roman" w:eastAsia="宋体" w:cs="Times New Roman"/>
          <w:sz w:val="24"/>
          <w:szCs w:val="24"/>
        </w:rPr>
        <w:t>算法研发单位牵头，两类终端研发单位和现场试点单位参与。</w:t>
      </w:r>
    </w:p>
    <w:bookmarkEnd w:id="102"/>
    <w:p w14:paraId="490401E0">
      <w:pPr>
        <w:pStyle w:val="3"/>
        <w:widowControl/>
        <w:rPr>
          <w:rFonts w:ascii="Times New Roman" w:hAnsi="Times New Roman" w:eastAsia="宋体" w:cs="Times New Roman"/>
          <w:sz w:val="24"/>
          <w:szCs w:val="24"/>
        </w:rPr>
      </w:pPr>
      <w:bookmarkStart w:id="103" w:name="ux4ea4ux4ed8ux7269-1"/>
      <w:r>
        <w:rPr>
          <w:rFonts w:ascii="Times New Roman" w:hAnsi="Times New Roman" w:eastAsia="宋体" w:cs="Times New Roman"/>
          <w:sz w:val="24"/>
          <w:szCs w:val="24"/>
        </w:rPr>
        <w:t>交付物</w:t>
      </w:r>
    </w:p>
    <w:p w14:paraId="6015C64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样本库；</w:t>
      </w:r>
    </w:p>
    <w:p w14:paraId="4D8B6A0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标注规范；</w:t>
      </w:r>
    </w:p>
    <w:p w14:paraId="3AFB3D9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事件分类模型；</w:t>
      </w:r>
    </w:p>
    <w:p w14:paraId="1DCC6A6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模型评估报告；</w:t>
      </w:r>
    </w:p>
    <w:p w14:paraId="187F00D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分终端端侧推理模型或规则包。</w:t>
      </w:r>
    </w:p>
    <w:bookmarkEnd w:id="100"/>
    <w:bookmarkEnd w:id="103"/>
    <w:p w14:paraId="683B56D0">
      <w:pPr>
        <w:pStyle w:val="4"/>
        <w:widowControl/>
      </w:pPr>
      <w:bookmarkStart w:id="104" w:name="X29011e585832eba42d628b273c453a7d73a492c"/>
      <w:r>
        <w:t>子项三：扰动源识别与责任辅助判定</w:t>
      </w:r>
    </w:p>
    <w:p w14:paraId="4FEBD075">
      <w:pPr>
        <w:pStyle w:val="3"/>
        <w:widowControl/>
        <w:rPr>
          <w:rFonts w:ascii="Times New Roman" w:hAnsi="Times New Roman" w:eastAsia="宋体" w:cs="Times New Roman"/>
          <w:sz w:val="24"/>
          <w:szCs w:val="24"/>
        </w:rPr>
      </w:pPr>
      <w:bookmarkStart w:id="105" w:name="ux7814ux7a76ux5185ux5bb9-2"/>
      <w:r>
        <w:rPr>
          <w:rFonts w:ascii="Times New Roman" w:hAnsi="Times New Roman" w:eastAsia="宋体" w:cs="Times New Roman"/>
          <w:sz w:val="24"/>
          <w:szCs w:val="24"/>
        </w:rPr>
        <w:t>研究内容</w:t>
      </w:r>
    </w:p>
    <w:p w14:paraId="0BF7E8A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建立电压电流因果特征；</w:t>
      </w:r>
    </w:p>
    <w:p w14:paraId="589DB8A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研究用户侧、专变用户侧、电网侧、新能源侧扰动判别方法；</w:t>
      </w:r>
    </w:p>
    <w:p w14:paraId="1694339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建立证据链输出模板；</w:t>
      </w:r>
    </w:p>
    <w:p w14:paraId="69E5DF5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与现场工单和人工核查结果闭环验证；</w:t>
      </w:r>
    </w:p>
    <w:p w14:paraId="671A469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形成扰动源识别模型。</w:t>
      </w:r>
    </w:p>
    <w:bookmarkEnd w:id="105"/>
    <w:p w14:paraId="2BD8AA63">
      <w:pPr>
        <w:pStyle w:val="3"/>
        <w:widowControl/>
        <w:rPr>
          <w:rFonts w:ascii="Times New Roman" w:hAnsi="Times New Roman" w:eastAsia="宋体" w:cs="Times New Roman"/>
          <w:sz w:val="24"/>
          <w:szCs w:val="24"/>
        </w:rPr>
      </w:pPr>
      <w:bookmarkStart w:id="106" w:name="ux7275ux5934ux5efaux8bae-2"/>
      <w:r>
        <w:rPr>
          <w:rFonts w:ascii="Times New Roman" w:hAnsi="Times New Roman" w:eastAsia="宋体" w:cs="Times New Roman"/>
          <w:sz w:val="24"/>
          <w:szCs w:val="24"/>
        </w:rPr>
        <w:t>牵头建议</w:t>
      </w:r>
    </w:p>
    <w:p w14:paraId="18D234B0">
      <w:pPr>
        <w:pStyle w:val="3"/>
        <w:rPr>
          <w:rFonts w:ascii="Times New Roman" w:hAnsi="Times New Roman" w:eastAsia="宋体" w:cs="Times New Roman"/>
          <w:sz w:val="24"/>
          <w:szCs w:val="24"/>
        </w:rPr>
      </w:pPr>
      <w:r>
        <w:rPr>
          <w:rFonts w:ascii="Times New Roman" w:hAnsi="Times New Roman" w:eastAsia="宋体" w:cs="Times New Roman"/>
          <w:sz w:val="24"/>
          <w:szCs w:val="24"/>
        </w:rPr>
        <w:t>牵头单位或算法研发单位牵头，现场试点单位重点参与。</w:t>
      </w:r>
    </w:p>
    <w:bookmarkEnd w:id="106"/>
    <w:p w14:paraId="005E8A7F">
      <w:pPr>
        <w:pStyle w:val="3"/>
        <w:widowControl/>
        <w:rPr>
          <w:rFonts w:ascii="Times New Roman" w:hAnsi="Times New Roman" w:eastAsia="宋体" w:cs="Times New Roman"/>
          <w:sz w:val="24"/>
          <w:szCs w:val="24"/>
        </w:rPr>
      </w:pPr>
      <w:bookmarkStart w:id="107" w:name="ux4ea4ux4ed8ux7269-2"/>
      <w:r>
        <w:rPr>
          <w:rFonts w:ascii="Times New Roman" w:hAnsi="Times New Roman" w:eastAsia="宋体" w:cs="Times New Roman"/>
          <w:sz w:val="24"/>
          <w:szCs w:val="24"/>
        </w:rPr>
        <w:t>交付物</w:t>
      </w:r>
    </w:p>
    <w:p w14:paraId="609F4DC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扰动源标签体系；</w:t>
      </w:r>
    </w:p>
    <w:p w14:paraId="755F59D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判别规则库；</w:t>
      </w:r>
    </w:p>
    <w:p w14:paraId="21EC1D1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扰动源识别模型；</w:t>
      </w:r>
    </w:p>
    <w:p w14:paraId="70FE88B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证据链输出模板；</w:t>
      </w:r>
    </w:p>
    <w:p w14:paraId="5B8CB50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现场验证报告。</w:t>
      </w:r>
    </w:p>
    <w:bookmarkEnd w:id="104"/>
    <w:bookmarkEnd w:id="107"/>
    <w:p w14:paraId="2CFDDEB4">
      <w:pPr>
        <w:pStyle w:val="4"/>
        <w:widowControl/>
      </w:pPr>
      <w:bookmarkStart w:id="108" w:name="X07fdf6a876bd732bcd7cdc9d4fd016a48b2162c"/>
      <w:r>
        <w:t>子项四：多终端协同诊断与跨采样率分析</w:t>
      </w:r>
    </w:p>
    <w:p w14:paraId="0A28A500">
      <w:pPr>
        <w:pStyle w:val="3"/>
        <w:widowControl/>
        <w:rPr>
          <w:rFonts w:ascii="Times New Roman" w:hAnsi="Times New Roman" w:eastAsia="宋体" w:cs="Times New Roman"/>
          <w:sz w:val="24"/>
          <w:szCs w:val="24"/>
        </w:rPr>
      </w:pPr>
      <w:bookmarkStart w:id="109" w:name="ux7814ux7a76ux5185ux5bb9-3"/>
      <w:r>
        <w:rPr>
          <w:rFonts w:ascii="Times New Roman" w:hAnsi="Times New Roman" w:eastAsia="宋体" w:cs="Times New Roman"/>
          <w:sz w:val="24"/>
          <w:szCs w:val="24"/>
        </w:rPr>
        <w:t>研究内容</w:t>
      </w:r>
    </w:p>
    <w:p w14:paraId="27416FD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建立智能融合终端和专变/ECU 终端的时间对齐与事件关联方法；</w:t>
      </w:r>
    </w:p>
    <w:p w14:paraId="4F0C59B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 256 点/周波与 512 点/周波兼容特征；</w:t>
      </w:r>
    </w:p>
    <w:p w14:paraId="52A4AFE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研究扰动从专变用户侧到台区侧的传播路径；</w:t>
      </w:r>
    </w:p>
    <w:p w14:paraId="06C83A3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建立跨终端证据链输出模板；</w:t>
      </w:r>
    </w:p>
    <w:p w14:paraId="7D1996F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形成协同诊断模型或规则库。</w:t>
      </w:r>
    </w:p>
    <w:bookmarkEnd w:id="109"/>
    <w:p w14:paraId="72C5C395">
      <w:pPr>
        <w:pStyle w:val="3"/>
        <w:widowControl/>
        <w:rPr>
          <w:rFonts w:ascii="Times New Roman" w:hAnsi="Times New Roman" w:eastAsia="宋体" w:cs="Times New Roman"/>
          <w:sz w:val="24"/>
          <w:szCs w:val="24"/>
        </w:rPr>
      </w:pPr>
      <w:bookmarkStart w:id="110" w:name="ux7275ux5934ux5efaux8bae-3"/>
      <w:r>
        <w:rPr>
          <w:rFonts w:ascii="Times New Roman" w:hAnsi="Times New Roman" w:eastAsia="宋体" w:cs="Times New Roman"/>
          <w:sz w:val="24"/>
          <w:szCs w:val="24"/>
        </w:rPr>
        <w:t>牵头建议</w:t>
      </w:r>
    </w:p>
    <w:p w14:paraId="467A91EF">
      <w:pPr>
        <w:pStyle w:val="3"/>
        <w:rPr>
          <w:rFonts w:ascii="Times New Roman" w:hAnsi="Times New Roman" w:eastAsia="宋体" w:cs="Times New Roman"/>
          <w:sz w:val="24"/>
          <w:szCs w:val="24"/>
        </w:rPr>
      </w:pPr>
      <w:r>
        <w:rPr>
          <w:rFonts w:ascii="Times New Roman" w:hAnsi="Times New Roman" w:eastAsia="宋体" w:cs="Times New Roman"/>
          <w:sz w:val="24"/>
          <w:szCs w:val="24"/>
        </w:rPr>
        <w:t>算法研发单位或终端厂家 AI 训练平台建设单位牵头，两类终端研发单位和现场试点单位参与。</w:t>
      </w:r>
    </w:p>
    <w:bookmarkEnd w:id="110"/>
    <w:p w14:paraId="682D7D09">
      <w:pPr>
        <w:pStyle w:val="3"/>
        <w:widowControl/>
        <w:rPr>
          <w:rFonts w:ascii="Times New Roman" w:hAnsi="Times New Roman" w:eastAsia="宋体" w:cs="Times New Roman"/>
          <w:sz w:val="24"/>
          <w:szCs w:val="24"/>
        </w:rPr>
      </w:pPr>
      <w:bookmarkStart w:id="111" w:name="ux4ea4ux4ed8ux7269-3"/>
      <w:r>
        <w:rPr>
          <w:rFonts w:ascii="Times New Roman" w:hAnsi="Times New Roman" w:eastAsia="宋体" w:cs="Times New Roman"/>
          <w:sz w:val="24"/>
          <w:szCs w:val="24"/>
        </w:rPr>
        <w:t>交付物</w:t>
      </w:r>
    </w:p>
    <w:p w14:paraId="5DE96E1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跨终端事件关联方法；</w:t>
      </w:r>
    </w:p>
    <w:p w14:paraId="0CAE446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跨采样率特征规范；</w:t>
      </w:r>
    </w:p>
    <w:p w14:paraId="0EBF4F5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多终端协同诊断模型；</w:t>
      </w:r>
    </w:p>
    <w:p w14:paraId="226C398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扰动传播路径分析报告；</w:t>
      </w:r>
    </w:p>
    <w:p w14:paraId="7A12DBB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协同诊断验证报告。</w:t>
      </w:r>
    </w:p>
    <w:bookmarkEnd w:id="108"/>
    <w:bookmarkEnd w:id="111"/>
    <w:p w14:paraId="707E3C5E">
      <w:pPr>
        <w:pStyle w:val="4"/>
        <w:widowControl/>
      </w:pPr>
      <w:bookmarkStart w:id="112" w:name="X420d2f683ca1759037cbee18619e015d5333925"/>
      <w:r>
        <w:t>子项五：台区与专变用户电能质量健康画像与风险预测</w:t>
      </w:r>
    </w:p>
    <w:p w14:paraId="6001373E">
      <w:pPr>
        <w:pStyle w:val="3"/>
        <w:widowControl/>
        <w:rPr>
          <w:rFonts w:ascii="Times New Roman" w:hAnsi="Times New Roman" w:eastAsia="宋体" w:cs="Times New Roman"/>
          <w:sz w:val="24"/>
          <w:szCs w:val="24"/>
        </w:rPr>
      </w:pPr>
      <w:bookmarkStart w:id="113" w:name="ux7814ux7a76ux5185ux5bb9-4"/>
      <w:r>
        <w:rPr>
          <w:rFonts w:ascii="Times New Roman" w:hAnsi="Times New Roman" w:eastAsia="宋体" w:cs="Times New Roman"/>
          <w:sz w:val="24"/>
          <w:szCs w:val="24"/>
        </w:rPr>
        <w:t>研究内容</w:t>
      </w:r>
    </w:p>
    <w:p w14:paraId="60C91F1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建立台区、专变用户健康评分模型；</w:t>
      </w:r>
    </w:p>
    <w:p w14:paraId="7935127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构建多对象画像指标体系；</w:t>
      </w:r>
    </w:p>
    <w:p w14:paraId="48D53AB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识别低电压、高电压、三相不平衡、谐波、暂降、冲击负荷和专变用户侧异常高风险对象；</w:t>
      </w:r>
    </w:p>
    <w:p w14:paraId="040DBE9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预测风险变化趋势；</w:t>
      </w:r>
    </w:p>
    <w:p w14:paraId="53A2BB7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输出治理优先级。</w:t>
      </w:r>
    </w:p>
    <w:bookmarkEnd w:id="113"/>
    <w:p w14:paraId="5F77E01F">
      <w:pPr>
        <w:pStyle w:val="3"/>
        <w:widowControl/>
        <w:rPr>
          <w:rFonts w:ascii="Times New Roman" w:hAnsi="Times New Roman" w:eastAsia="宋体" w:cs="Times New Roman"/>
          <w:sz w:val="24"/>
          <w:szCs w:val="24"/>
        </w:rPr>
      </w:pPr>
      <w:bookmarkStart w:id="114" w:name="ux7275ux5934ux5efaux8bae-4"/>
      <w:r>
        <w:rPr>
          <w:rFonts w:ascii="Times New Roman" w:hAnsi="Times New Roman" w:eastAsia="宋体" w:cs="Times New Roman"/>
          <w:sz w:val="24"/>
          <w:szCs w:val="24"/>
        </w:rPr>
        <w:t>牵头建议</w:t>
      </w:r>
    </w:p>
    <w:p w14:paraId="716C90D5">
      <w:pPr>
        <w:pStyle w:val="3"/>
        <w:rPr>
          <w:rFonts w:ascii="Times New Roman" w:hAnsi="Times New Roman" w:eastAsia="宋体" w:cs="Times New Roman"/>
          <w:sz w:val="24"/>
          <w:szCs w:val="24"/>
        </w:rPr>
      </w:pPr>
      <w:r>
        <w:rPr>
          <w:rFonts w:ascii="Times New Roman" w:hAnsi="Times New Roman" w:eastAsia="宋体" w:cs="Times New Roman"/>
          <w:sz w:val="24"/>
          <w:szCs w:val="24"/>
        </w:rPr>
        <w:t>终端厂家 AI 训练平台建设单位或算法研发单位牵头，牵头单位参与。</w:t>
      </w:r>
    </w:p>
    <w:bookmarkEnd w:id="114"/>
    <w:p w14:paraId="073DFF6F">
      <w:pPr>
        <w:pStyle w:val="3"/>
        <w:widowControl/>
        <w:rPr>
          <w:rFonts w:ascii="Times New Roman" w:hAnsi="Times New Roman" w:eastAsia="宋体" w:cs="Times New Roman"/>
          <w:sz w:val="24"/>
          <w:szCs w:val="24"/>
        </w:rPr>
      </w:pPr>
      <w:bookmarkStart w:id="115" w:name="ux4ea4ux4ed8ux7269-4"/>
      <w:r>
        <w:rPr>
          <w:rFonts w:ascii="Times New Roman" w:hAnsi="Times New Roman" w:eastAsia="宋体" w:cs="Times New Roman"/>
          <w:sz w:val="24"/>
          <w:szCs w:val="24"/>
        </w:rPr>
        <w:t>交付物</w:t>
      </w:r>
    </w:p>
    <w:p w14:paraId="1FD1970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多对象画像指标体系；</w:t>
      </w:r>
    </w:p>
    <w:p w14:paraId="7174FED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健康评分模型；</w:t>
      </w:r>
    </w:p>
    <w:p w14:paraId="0A3C585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风险预测模型；</w:t>
      </w:r>
    </w:p>
    <w:p w14:paraId="6DB5775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台区、专变用户看板；</w:t>
      </w:r>
    </w:p>
    <w:p w14:paraId="4B6EFB9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月度分析报告模板。</w:t>
      </w:r>
    </w:p>
    <w:bookmarkEnd w:id="112"/>
    <w:bookmarkEnd w:id="115"/>
    <w:p w14:paraId="5600E839">
      <w:pPr>
        <w:pStyle w:val="4"/>
        <w:widowControl/>
      </w:pPr>
      <w:bookmarkStart w:id="116" w:name="X4f0e7cac0b63082ed6e860f8b8af5ed794004aa"/>
      <w:r>
        <w:t>子项六：新能源与充电桩接入影响评估</w:t>
      </w:r>
    </w:p>
    <w:p w14:paraId="0937CCA6">
      <w:pPr>
        <w:pStyle w:val="3"/>
        <w:widowControl/>
        <w:rPr>
          <w:rFonts w:ascii="Times New Roman" w:hAnsi="Times New Roman" w:eastAsia="宋体" w:cs="Times New Roman"/>
          <w:sz w:val="24"/>
          <w:szCs w:val="24"/>
        </w:rPr>
      </w:pPr>
      <w:bookmarkStart w:id="117" w:name="ux7814ux7a76ux5185ux5bb9-5"/>
      <w:r>
        <w:rPr>
          <w:rFonts w:ascii="Times New Roman" w:hAnsi="Times New Roman" w:eastAsia="宋体" w:cs="Times New Roman"/>
          <w:sz w:val="24"/>
          <w:szCs w:val="24"/>
        </w:rPr>
        <w:t>研究内容</w:t>
      </w:r>
    </w:p>
    <w:p w14:paraId="51EF81A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识别光伏和充电桩典型运行特征；</w:t>
      </w:r>
    </w:p>
    <w:p w14:paraId="1D952FE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分析新能源接入对电压、谐波和不平衡的影响；</w:t>
      </w:r>
    </w:p>
    <w:p w14:paraId="7EBCEA7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建立台区接入风险评估模型；</w:t>
      </w:r>
    </w:p>
    <w:p w14:paraId="761D30E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结合专变/ECU 终端数据分析大用户、充电设施或专变用户侧扰动对台区的影响；</w:t>
      </w:r>
    </w:p>
    <w:p w14:paraId="7363E70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形成承载能力动态评估方法；</w:t>
      </w:r>
    </w:p>
    <w:p w14:paraId="031435F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提出治理建议。</w:t>
      </w:r>
    </w:p>
    <w:bookmarkEnd w:id="117"/>
    <w:p w14:paraId="1A3427EF">
      <w:pPr>
        <w:pStyle w:val="3"/>
        <w:widowControl/>
        <w:rPr>
          <w:rFonts w:ascii="Times New Roman" w:hAnsi="Times New Roman" w:eastAsia="宋体" w:cs="Times New Roman"/>
          <w:sz w:val="24"/>
          <w:szCs w:val="24"/>
        </w:rPr>
      </w:pPr>
      <w:bookmarkStart w:id="118" w:name="ux7275ux5934ux5efaux8bae-5"/>
      <w:r>
        <w:rPr>
          <w:rFonts w:ascii="Times New Roman" w:hAnsi="Times New Roman" w:eastAsia="宋体" w:cs="Times New Roman"/>
          <w:sz w:val="24"/>
          <w:szCs w:val="24"/>
        </w:rPr>
        <w:t>牵头建议</w:t>
      </w:r>
    </w:p>
    <w:p w14:paraId="6413D66F">
      <w:pPr>
        <w:pStyle w:val="3"/>
        <w:rPr>
          <w:rFonts w:ascii="Times New Roman" w:hAnsi="Times New Roman" w:eastAsia="宋体" w:cs="Times New Roman"/>
          <w:sz w:val="24"/>
          <w:szCs w:val="24"/>
        </w:rPr>
      </w:pPr>
      <w:r>
        <w:rPr>
          <w:rFonts w:ascii="Times New Roman" w:hAnsi="Times New Roman" w:eastAsia="宋体" w:cs="Times New Roman"/>
          <w:sz w:val="24"/>
          <w:szCs w:val="24"/>
        </w:rPr>
        <w:t>新能源相关单位或算法研发单位牵头，现场试点单位参与。</w:t>
      </w:r>
    </w:p>
    <w:bookmarkEnd w:id="118"/>
    <w:p w14:paraId="6AD5AC2D">
      <w:pPr>
        <w:pStyle w:val="3"/>
        <w:widowControl/>
        <w:rPr>
          <w:rFonts w:ascii="Times New Roman" w:hAnsi="Times New Roman" w:eastAsia="宋体" w:cs="Times New Roman"/>
          <w:sz w:val="24"/>
          <w:szCs w:val="24"/>
        </w:rPr>
      </w:pPr>
      <w:bookmarkStart w:id="119" w:name="ux4ea4ux4ed8ux7269-5"/>
      <w:r>
        <w:rPr>
          <w:rFonts w:ascii="Times New Roman" w:hAnsi="Times New Roman" w:eastAsia="宋体" w:cs="Times New Roman"/>
          <w:sz w:val="24"/>
          <w:szCs w:val="24"/>
        </w:rPr>
        <w:t>交付物</w:t>
      </w:r>
    </w:p>
    <w:p w14:paraId="670FD97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新能源影响识别模型；</w:t>
      </w:r>
    </w:p>
    <w:p w14:paraId="26071C2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充电负荷识别模型；</w:t>
      </w:r>
    </w:p>
    <w:p w14:paraId="13FFDD7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台区承载能力评估方法；</w:t>
      </w:r>
    </w:p>
    <w:p w14:paraId="15C97F5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试点分析报告。</w:t>
      </w:r>
    </w:p>
    <w:bookmarkEnd w:id="116"/>
    <w:bookmarkEnd w:id="119"/>
    <w:p w14:paraId="0D8D9878">
      <w:pPr>
        <w:pStyle w:val="4"/>
        <w:widowControl/>
      </w:pPr>
      <w:bookmarkStart w:id="120" w:name="X2f73d0be42f408fb84d8df1331df015660e101e"/>
      <w:r>
        <w:t>子项七：大模型电能质量专家助手</w:t>
      </w:r>
    </w:p>
    <w:p w14:paraId="7167479F">
      <w:pPr>
        <w:pStyle w:val="3"/>
        <w:widowControl/>
        <w:rPr>
          <w:rFonts w:ascii="Times New Roman" w:hAnsi="Times New Roman" w:eastAsia="宋体" w:cs="Times New Roman"/>
          <w:sz w:val="24"/>
          <w:szCs w:val="24"/>
        </w:rPr>
      </w:pPr>
      <w:bookmarkStart w:id="121" w:name="ux7814ux7a76ux5185ux5bb9-6"/>
      <w:r>
        <w:rPr>
          <w:rFonts w:ascii="Times New Roman" w:hAnsi="Times New Roman" w:eastAsia="宋体" w:cs="Times New Roman"/>
          <w:sz w:val="24"/>
          <w:szCs w:val="24"/>
        </w:rPr>
        <w:t>研究内容</w:t>
      </w:r>
    </w:p>
    <w:p w14:paraId="0C4B0B5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建设电能质量知识库和案例库；</w:t>
      </w:r>
    </w:p>
    <w:p w14:paraId="5FF7F4E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建设检索增强生成流程；</w:t>
      </w:r>
    </w:p>
    <w:p w14:paraId="17F6593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实现自然语言查询；</w:t>
      </w:r>
    </w:p>
    <w:p w14:paraId="3FBD2D0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实现事件解释和报告生成；</w:t>
      </w:r>
    </w:p>
    <w:p w14:paraId="4E917B3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实现多终端协同诊断结果解释；</w:t>
      </w:r>
    </w:p>
    <w:p w14:paraId="432FEEC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实现治理建议和工单辅助。</w:t>
      </w:r>
    </w:p>
    <w:bookmarkEnd w:id="121"/>
    <w:p w14:paraId="199D51CF">
      <w:pPr>
        <w:pStyle w:val="3"/>
        <w:widowControl/>
        <w:rPr>
          <w:rFonts w:ascii="Times New Roman" w:hAnsi="Times New Roman" w:eastAsia="宋体" w:cs="Times New Roman"/>
          <w:sz w:val="24"/>
          <w:szCs w:val="24"/>
        </w:rPr>
      </w:pPr>
      <w:bookmarkStart w:id="122" w:name="ux7275ux5934ux5efaux8bae-6"/>
      <w:r>
        <w:rPr>
          <w:rFonts w:ascii="Times New Roman" w:hAnsi="Times New Roman" w:eastAsia="宋体" w:cs="Times New Roman"/>
          <w:sz w:val="24"/>
          <w:szCs w:val="24"/>
        </w:rPr>
        <w:t>牵头建议</w:t>
      </w:r>
    </w:p>
    <w:p w14:paraId="2E53CFE6">
      <w:pPr>
        <w:pStyle w:val="3"/>
        <w:rPr>
          <w:rFonts w:ascii="Times New Roman" w:hAnsi="Times New Roman" w:eastAsia="宋体" w:cs="Times New Roman"/>
          <w:sz w:val="24"/>
          <w:szCs w:val="24"/>
        </w:rPr>
      </w:pPr>
      <w:r>
        <w:rPr>
          <w:rFonts w:ascii="Times New Roman" w:hAnsi="Times New Roman" w:eastAsia="宋体" w:cs="Times New Roman"/>
          <w:sz w:val="24"/>
          <w:szCs w:val="24"/>
        </w:rPr>
        <w:t>终端厂家 AI 训练平台建设单位或大模型研发单位牵头，牵头单位参与审核。</w:t>
      </w:r>
    </w:p>
    <w:bookmarkEnd w:id="122"/>
    <w:p w14:paraId="27897890">
      <w:pPr>
        <w:pStyle w:val="3"/>
        <w:widowControl/>
        <w:rPr>
          <w:rFonts w:ascii="Times New Roman" w:hAnsi="Times New Roman" w:eastAsia="宋体" w:cs="Times New Roman"/>
          <w:sz w:val="24"/>
          <w:szCs w:val="24"/>
        </w:rPr>
      </w:pPr>
      <w:bookmarkStart w:id="123" w:name="ux4ea4ux4ed8ux7269-6"/>
      <w:r>
        <w:rPr>
          <w:rFonts w:ascii="Times New Roman" w:hAnsi="Times New Roman" w:eastAsia="宋体" w:cs="Times New Roman"/>
          <w:sz w:val="24"/>
          <w:szCs w:val="24"/>
        </w:rPr>
        <w:t>交付物</w:t>
      </w:r>
    </w:p>
    <w:p w14:paraId="3B69B4E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知识库；</w:t>
      </w:r>
    </w:p>
    <w:p w14:paraId="74AAF90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提示词和工具调用规范；</w:t>
      </w:r>
    </w:p>
    <w:p w14:paraId="4153BDB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专家助手原型；</w:t>
      </w:r>
    </w:p>
    <w:p w14:paraId="56F4357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自动报告模板；</w:t>
      </w:r>
    </w:p>
    <w:p w14:paraId="7FD1BC9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大模型应用评测报告。</w:t>
      </w:r>
    </w:p>
    <w:bookmarkEnd w:id="120"/>
    <w:bookmarkEnd w:id="123"/>
    <w:p w14:paraId="420CA205">
      <w:pPr>
        <w:pStyle w:val="4"/>
        <w:widowControl/>
      </w:pPr>
      <w:bookmarkStart w:id="124" w:name="X17388c8f73046f0510fb382e14a9ef457342a4c"/>
      <w:r>
        <w:t>子项八：试点验证与业务闭环</w:t>
      </w:r>
    </w:p>
    <w:p w14:paraId="378E8345">
      <w:pPr>
        <w:pStyle w:val="3"/>
        <w:widowControl/>
        <w:rPr>
          <w:rFonts w:ascii="Times New Roman" w:hAnsi="Times New Roman" w:eastAsia="宋体" w:cs="Times New Roman"/>
          <w:sz w:val="24"/>
          <w:szCs w:val="24"/>
        </w:rPr>
      </w:pPr>
      <w:bookmarkStart w:id="125" w:name="ux7814ux7a76ux5185ux5bb9-7"/>
      <w:r>
        <w:rPr>
          <w:rFonts w:ascii="Times New Roman" w:hAnsi="Times New Roman" w:eastAsia="宋体" w:cs="Times New Roman"/>
          <w:sz w:val="24"/>
          <w:szCs w:val="24"/>
        </w:rPr>
        <w:t>研究内容</w:t>
      </w:r>
    </w:p>
    <w:p w14:paraId="1405C3E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选择典型台区、专变用户试点；</w:t>
      </w:r>
    </w:p>
    <w:p w14:paraId="16B7009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部署智能融合终端、专变/ECU 终端和训练平台；</w:t>
      </w:r>
    </w:p>
    <w:p w14:paraId="0181880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收集真实事件；</w:t>
      </w:r>
    </w:p>
    <w:p w14:paraId="30760A4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验证模型效果；</w:t>
      </w:r>
    </w:p>
    <w:p w14:paraId="773FCF2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形成业务闭环；</w:t>
      </w:r>
    </w:p>
    <w:p w14:paraId="3B991A0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总结推广条件。</w:t>
      </w:r>
    </w:p>
    <w:bookmarkEnd w:id="125"/>
    <w:p w14:paraId="00BA3A0A">
      <w:pPr>
        <w:pStyle w:val="3"/>
        <w:widowControl/>
        <w:rPr>
          <w:rFonts w:ascii="Times New Roman" w:hAnsi="Times New Roman" w:eastAsia="宋体" w:cs="Times New Roman"/>
          <w:sz w:val="24"/>
          <w:szCs w:val="24"/>
        </w:rPr>
      </w:pPr>
      <w:bookmarkStart w:id="126" w:name="ux7275ux5934ux5efaux8bae-7"/>
      <w:r>
        <w:rPr>
          <w:rFonts w:ascii="Times New Roman" w:hAnsi="Times New Roman" w:eastAsia="宋体" w:cs="Times New Roman"/>
          <w:sz w:val="24"/>
          <w:szCs w:val="24"/>
        </w:rPr>
        <w:t>牵头建议</w:t>
      </w:r>
    </w:p>
    <w:p w14:paraId="0D3B830D">
      <w:pPr>
        <w:pStyle w:val="3"/>
        <w:rPr>
          <w:rFonts w:ascii="Times New Roman" w:hAnsi="Times New Roman" w:eastAsia="宋体" w:cs="Times New Roman"/>
          <w:sz w:val="24"/>
          <w:szCs w:val="24"/>
        </w:rPr>
      </w:pPr>
      <w:r>
        <w:rPr>
          <w:rFonts w:ascii="Times New Roman" w:hAnsi="Times New Roman" w:eastAsia="宋体" w:cs="Times New Roman"/>
          <w:sz w:val="24"/>
          <w:szCs w:val="24"/>
        </w:rPr>
        <w:t>牵头单位和现场试点单位共同牵头。</w:t>
      </w:r>
    </w:p>
    <w:bookmarkEnd w:id="126"/>
    <w:p w14:paraId="33DFB0A8">
      <w:pPr>
        <w:pStyle w:val="3"/>
        <w:widowControl/>
        <w:rPr>
          <w:rFonts w:ascii="Times New Roman" w:hAnsi="Times New Roman" w:eastAsia="宋体" w:cs="Times New Roman"/>
          <w:sz w:val="24"/>
          <w:szCs w:val="24"/>
        </w:rPr>
      </w:pPr>
      <w:bookmarkStart w:id="127" w:name="ux4ea4ux4ed8ux7269-7"/>
      <w:r>
        <w:rPr>
          <w:rFonts w:ascii="Times New Roman" w:hAnsi="Times New Roman" w:eastAsia="宋体" w:cs="Times New Roman"/>
          <w:sz w:val="24"/>
          <w:szCs w:val="24"/>
        </w:rPr>
        <w:t>交付物</w:t>
      </w:r>
    </w:p>
    <w:p w14:paraId="3DA2920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试点实施方案；</w:t>
      </w:r>
    </w:p>
    <w:p w14:paraId="23F0951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现场部署记录；</w:t>
      </w:r>
    </w:p>
    <w:p w14:paraId="1476E2C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验证数据集；</w:t>
      </w:r>
    </w:p>
    <w:p w14:paraId="7D57005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业务成效评估；</w:t>
      </w:r>
    </w:p>
    <w:p w14:paraId="29923ED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推广建议。</w:t>
      </w:r>
    </w:p>
    <w:bookmarkEnd w:id="95"/>
    <w:bookmarkEnd w:id="124"/>
    <w:bookmarkEnd w:id="127"/>
    <w:p w14:paraId="1793A8CE">
      <w:pPr>
        <w:pStyle w:val="2"/>
        <w:widowControl/>
        <w:numPr>
          <w:ilvl w:val="0"/>
          <w:numId w:val="1"/>
        </w:numPr>
        <w:ind w:left="0" w:leftChars="0" w:firstLine="0" w:firstLineChars="0"/>
        <w:rPr>
          <w:b w:val="0"/>
          <w:bdr w:val="none" w:sz="0" w:space="0"/>
        </w:rPr>
      </w:pPr>
      <w:bookmarkStart w:id="128" w:name="Xfe03efd7ca0ef5d8ecbf2836968fd5399a08d88"/>
      <w:r>
        <w:t>分阶段实施计划</w:t>
      </w:r>
    </w:p>
    <w:p w14:paraId="06BE1F79">
      <w:pPr>
        <w:pStyle w:val="4"/>
        <w:widowControl/>
      </w:pPr>
      <w:bookmarkStart w:id="129" w:name="X84afabfb70de83bd4ccfac90cd094377202af2f"/>
      <w:r>
        <w:t>第一阶段：需求收敛与数据规范</w:t>
      </w:r>
    </w:p>
    <w:p w14:paraId="1650BC1C">
      <w:pPr>
        <w:pStyle w:val="5"/>
        <w:widowControl/>
      </w:pPr>
      <w:bookmarkStart w:id="130" w:name="ux76eeux6807"/>
      <w:r>
        <w:t>目标</w:t>
      </w:r>
    </w:p>
    <w:p w14:paraId="218FCD0F">
      <w:pPr>
        <w:pStyle w:val="3"/>
        <w:rPr>
          <w:rFonts w:ascii="Times New Roman" w:hAnsi="Times New Roman" w:eastAsia="宋体" w:cs="Times New Roman"/>
          <w:sz w:val="24"/>
          <w:szCs w:val="24"/>
        </w:rPr>
      </w:pPr>
      <w:r>
        <w:rPr>
          <w:rFonts w:ascii="Times New Roman" w:hAnsi="Times New Roman" w:eastAsia="宋体" w:cs="Times New Roman"/>
          <w:sz w:val="24"/>
          <w:szCs w:val="24"/>
        </w:rPr>
        <w:t>完成研究方向收敛、数据规范制定、标签体系制定和试点场景选择。</w:t>
      </w:r>
    </w:p>
    <w:bookmarkEnd w:id="130"/>
    <w:p w14:paraId="0307FA31">
      <w:pPr>
        <w:pStyle w:val="5"/>
        <w:widowControl/>
      </w:pPr>
      <w:bookmarkStart w:id="131" w:name="ux5de5ux4f5cux5185ux5bb9"/>
      <w:r>
        <w:t>工作内容</w:t>
      </w:r>
    </w:p>
    <w:p w14:paraId="749D70E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明确子项课题边界；</w:t>
      </w:r>
    </w:p>
    <w:p w14:paraId="69C630F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梳理现有终端能力；</w:t>
      </w:r>
    </w:p>
    <w:p w14:paraId="337507A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制定数据格式；</w:t>
      </w:r>
    </w:p>
    <w:p w14:paraId="12C4AB3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制定事件和标签体系；</w:t>
      </w:r>
    </w:p>
    <w:p w14:paraId="2A9A3B1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选择试点台区、专变用户场景；</w:t>
      </w:r>
    </w:p>
    <w:p w14:paraId="2631014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明确数据安全和脱敏要求。</w:t>
      </w:r>
    </w:p>
    <w:bookmarkEnd w:id="131"/>
    <w:p w14:paraId="1D2F4263">
      <w:pPr>
        <w:pStyle w:val="5"/>
        <w:widowControl/>
      </w:pPr>
      <w:bookmarkStart w:id="132" w:name="ux9636ux6bb5ux6210ux679c"/>
      <w:r>
        <w:t>阶段成果</w:t>
      </w:r>
    </w:p>
    <w:p w14:paraId="31BF816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需求手册；</w:t>
      </w:r>
    </w:p>
    <w:p w14:paraId="1803056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数据规范；</w:t>
      </w:r>
    </w:p>
    <w:p w14:paraId="60D4834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标签规范；</w:t>
      </w:r>
    </w:p>
    <w:p w14:paraId="33B54C4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试点方案；</w:t>
      </w:r>
    </w:p>
    <w:p w14:paraId="0134C59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子项分工表。</w:t>
      </w:r>
    </w:p>
    <w:bookmarkEnd w:id="129"/>
    <w:bookmarkEnd w:id="132"/>
    <w:p w14:paraId="5F25EE25">
      <w:pPr>
        <w:pStyle w:val="4"/>
        <w:widowControl/>
      </w:pPr>
      <w:bookmarkStart w:id="133" w:name="Xdb87b69e6b14608c7ba1763b92c265006e5433d"/>
      <w:r>
        <w:t>第二阶段：数据采集与样本库建设</w:t>
      </w:r>
    </w:p>
    <w:p w14:paraId="22F69D7E">
      <w:pPr>
        <w:pStyle w:val="5"/>
        <w:widowControl/>
      </w:pPr>
      <w:bookmarkStart w:id="134" w:name="ux76eeux6807-1"/>
      <w:r>
        <w:t>目标</w:t>
      </w:r>
    </w:p>
    <w:p w14:paraId="0DFFC352">
      <w:pPr>
        <w:pStyle w:val="3"/>
        <w:rPr>
          <w:rFonts w:ascii="Times New Roman" w:hAnsi="Times New Roman" w:eastAsia="宋体" w:cs="Times New Roman"/>
          <w:sz w:val="24"/>
          <w:szCs w:val="24"/>
        </w:rPr>
      </w:pPr>
      <w:r>
        <w:rPr>
          <w:rFonts w:ascii="Times New Roman" w:hAnsi="Times New Roman" w:eastAsia="宋体" w:cs="Times New Roman"/>
          <w:sz w:val="24"/>
          <w:szCs w:val="24"/>
        </w:rPr>
        <w:t>形成可用于模型训练和评估的电能质量样本库。</w:t>
      </w:r>
    </w:p>
    <w:bookmarkEnd w:id="134"/>
    <w:p w14:paraId="54D42B11">
      <w:pPr>
        <w:pStyle w:val="5"/>
        <w:widowControl/>
      </w:pPr>
      <w:bookmarkStart w:id="135" w:name="ux5de5ux4f5cux5185ux5bb9-1"/>
      <w:r>
        <w:t>工作内容</w:t>
      </w:r>
    </w:p>
    <w:p w14:paraId="112FB89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部署终端采集波形；</w:t>
      </w:r>
    </w:p>
    <w:p w14:paraId="23D6061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分别采集智能融合终端 256 点/周波波形、专变/ECU 终端 512 点/周波波形；</w:t>
      </w:r>
    </w:p>
    <w:p w14:paraId="1A6AC7A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建立事件触发机制；</w:t>
      </w:r>
    </w:p>
    <w:p w14:paraId="5583783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完成数据清洗；</w:t>
      </w:r>
    </w:p>
    <w:p w14:paraId="1FB9082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生成波形切片；</w:t>
      </w:r>
    </w:p>
    <w:p w14:paraId="2A10883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建立样本库；</w:t>
      </w:r>
    </w:p>
    <w:p w14:paraId="6B5F960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组织专家标注。</w:t>
      </w:r>
    </w:p>
    <w:bookmarkEnd w:id="135"/>
    <w:p w14:paraId="6C33DCCC">
      <w:pPr>
        <w:pStyle w:val="5"/>
        <w:widowControl/>
      </w:pPr>
      <w:bookmarkStart w:id="136" w:name="ux9636ux6bb5ux6210ux679c-1"/>
      <w:r>
        <w:t>阶段成果</w:t>
      </w:r>
    </w:p>
    <w:p w14:paraId="35E11F3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原始波形库；</w:t>
      </w:r>
    </w:p>
    <w:p w14:paraId="0DEC209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事件库；</w:t>
      </w:r>
    </w:p>
    <w:p w14:paraId="4282B8C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样本库；</w:t>
      </w:r>
    </w:p>
    <w:p w14:paraId="52B69A9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标签库；</w:t>
      </w:r>
    </w:p>
    <w:p w14:paraId="3F5E5B2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数据质量报告。</w:t>
      </w:r>
    </w:p>
    <w:bookmarkEnd w:id="133"/>
    <w:bookmarkEnd w:id="136"/>
    <w:p w14:paraId="3B9B7677">
      <w:pPr>
        <w:pStyle w:val="4"/>
        <w:widowControl/>
      </w:pPr>
      <w:bookmarkStart w:id="137" w:name="X120a70e26482f56d1afe82267c7786562612d10"/>
      <w:r>
        <w:t>第三阶段：模型研发与初步验证</w:t>
      </w:r>
    </w:p>
    <w:p w14:paraId="4BC3122C">
      <w:pPr>
        <w:pStyle w:val="5"/>
        <w:widowControl/>
      </w:pPr>
      <w:bookmarkStart w:id="138" w:name="ux76eeux6807-2"/>
      <w:r>
        <w:t>目标</w:t>
      </w:r>
    </w:p>
    <w:p w14:paraId="40D1B8E5">
      <w:pPr>
        <w:pStyle w:val="3"/>
        <w:rPr>
          <w:rFonts w:ascii="Times New Roman" w:hAnsi="Times New Roman" w:eastAsia="宋体" w:cs="Times New Roman"/>
          <w:sz w:val="24"/>
          <w:szCs w:val="24"/>
        </w:rPr>
      </w:pPr>
      <w:r>
        <w:rPr>
          <w:rFonts w:ascii="Times New Roman" w:hAnsi="Times New Roman" w:eastAsia="宋体" w:cs="Times New Roman"/>
          <w:sz w:val="24"/>
          <w:szCs w:val="24"/>
        </w:rPr>
        <w:t>完成事件识别、扰动源识别、跨终端协同诊断、风险预测和多对象画像模型的研发。</w:t>
      </w:r>
    </w:p>
    <w:bookmarkEnd w:id="138"/>
    <w:p w14:paraId="06FFC55C">
      <w:pPr>
        <w:pStyle w:val="5"/>
        <w:widowControl/>
      </w:pPr>
      <w:bookmarkStart w:id="139" w:name="ux5de5ux4f5cux5185ux5bb9-2"/>
      <w:r>
        <w:t>工作内容</w:t>
      </w:r>
    </w:p>
    <w:p w14:paraId="3FC74A0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特征工程；</w:t>
      </w:r>
    </w:p>
    <w:p w14:paraId="2D979D5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异常检测模型训练；</w:t>
      </w:r>
    </w:p>
    <w:p w14:paraId="16C944F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事件分类模型训练；</w:t>
      </w:r>
    </w:p>
    <w:p w14:paraId="569D0EB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扰动源识别模型训练；</w:t>
      </w:r>
    </w:p>
    <w:p w14:paraId="4841E21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跨终端协同诊断模型训练；</w:t>
      </w:r>
    </w:p>
    <w:p w14:paraId="5A51A8C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风险预测模型训练；</w:t>
      </w:r>
    </w:p>
    <w:p w14:paraId="5234DA6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模型评估；</w:t>
      </w:r>
    </w:p>
    <w:p w14:paraId="0F9EA1A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端侧轻量化适配。</w:t>
      </w:r>
    </w:p>
    <w:bookmarkEnd w:id="139"/>
    <w:p w14:paraId="564D3132">
      <w:pPr>
        <w:pStyle w:val="5"/>
        <w:widowControl/>
      </w:pPr>
      <w:bookmarkStart w:id="140" w:name="ux9636ux6bb5ux6210ux679c-2"/>
      <w:r>
        <w:t>阶段成果</w:t>
      </w:r>
    </w:p>
    <w:p w14:paraId="3638A6B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模型文件；</w:t>
      </w:r>
    </w:p>
    <w:p w14:paraId="7EEBADB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模型接口；</w:t>
      </w:r>
    </w:p>
    <w:p w14:paraId="5FF8D19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模型评估报告；</w:t>
      </w:r>
    </w:p>
    <w:p w14:paraId="2B5762B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端侧模型部署包；</w:t>
      </w:r>
    </w:p>
    <w:p w14:paraId="2AAC273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初步验证报告。</w:t>
      </w:r>
    </w:p>
    <w:bookmarkEnd w:id="137"/>
    <w:bookmarkEnd w:id="140"/>
    <w:p w14:paraId="61A52793">
      <w:pPr>
        <w:pStyle w:val="4"/>
        <w:widowControl/>
      </w:pPr>
      <w:bookmarkStart w:id="141" w:name="Xaf72ad374d669c3de848afd0fad76e7e078c63a"/>
      <w:r>
        <w:t>第四阶段：平台应用与大模型集成</w:t>
      </w:r>
    </w:p>
    <w:p w14:paraId="76579898">
      <w:pPr>
        <w:pStyle w:val="5"/>
        <w:widowControl/>
      </w:pPr>
      <w:bookmarkStart w:id="142" w:name="ux76eeux6807-3"/>
      <w:r>
        <w:t>目标</w:t>
      </w:r>
    </w:p>
    <w:p w14:paraId="143CC9A8">
      <w:pPr>
        <w:pStyle w:val="3"/>
        <w:rPr>
          <w:rFonts w:ascii="Times New Roman" w:hAnsi="Times New Roman" w:eastAsia="宋体" w:cs="Times New Roman"/>
          <w:sz w:val="24"/>
          <w:szCs w:val="24"/>
        </w:rPr>
      </w:pPr>
      <w:r>
        <w:rPr>
          <w:rFonts w:ascii="Times New Roman" w:hAnsi="Times New Roman" w:eastAsia="宋体" w:cs="Times New Roman"/>
          <w:sz w:val="24"/>
          <w:szCs w:val="24"/>
        </w:rPr>
        <w:t>形成可演示、可试运行的业务应用系统。</w:t>
      </w:r>
    </w:p>
    <w:bookmarkEnd w:id="142"/>
    <w:p w14:paraId="7CF5747E">
      <w:pPr>
        <w:pStyle w:val="5"/>
        <w:widowControl/>
      </w:pPr>
      <w:bookmarkStart w:id="143" w:name="ux5de5ux4f5cux5185ux5bb9-3"/>
      <w:r>
        <w:t>工作内容</w:t>
      </w:r>
    </w:p>
    <w:p w14:paraId="2F53C61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建设指标库、事件库、样本库；</w:t>
      </w:r>
    </w:p>
    <w:p w14:paraId="2E53A3A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建设台区、专变用户画像看板；</w:t>
      </w:r>
    </w:p>
    <w:p w14:paraId="45A8EC7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建设事件诊断页面；</w:t>
      </w:r>
    </w:p>
    <w:p w14:paraId="2649B20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建设跨终端事件关联页面；</w:t>
      </w:r>
    </w:p>
    <w:p w14:paraId="7F2D0B5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建设大模型专家助手；</w:t>
      </w:r>
    </w:p>
    <w:p w14:paraId="2C868CB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建设自动报告功能；</w:t>
      </w:r>
    </w:p>
    <w:p w14:paraId="21B531E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打通工单或运维流程。</w:t>
      </w:r>
    </w:p>
    <w:bookmarkEnd w:id="143"/>
    <w:p w14:paraId="493D095F">
      <w:pPr>
        <w:pStyle w:val="5"/>
        <w:widowControl/>
      </w:pPr>
      <w:bookmarkStart w:id="144" w:name="ux9636ux6bb5ux6210ux679c-3"/>
      <w:r>
        <w:t>阶段成果</w:t>
      </w:r>
    </w:p>
    <w:p w14:paraId="7A351761">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平台原型；</w:t>
      </w:r>
    </w:p>
    <w:p w14:paraId="2F812C0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专家助手原型；</w:t>
      </w:r>
    </w:p>
    <w:p w14:paraId="586A942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自动报告模板；</w:t>
      </w:r>
    </w:p>
    <w:p w14:paraId="7B2874B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业务流程说明；</w:t>
      </w:r>
    </w:p>
    <w:p w14:paraId="2B409F0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系统联调报告。</w:t>
      </w:r>
    </w:p>
    <w:bookmarkEnd w:id="141"/>
    <w:bookmarkEnd w:id="144"/>
    <w:p w14:paraId="1A214570">
      <w:pPr>
        <w:pStyle w:val="4"/>
        <w:widowControl/>
      </w:pPr>
      <w:bookmarkStart w:id="145" w:name="Xc8711dc064141f76a0b59e387b6f794ea7e61cb"/>
      <w:r>
        <w:t>第五阶段：现场试点与成果固化</w:t>
      </w:r>
    </w:p>
    <w:p w14:paraId="4162CAF5">
      <w:pPr>
        <w:pStyle w:val="5"/>
        <w:widowControl/>
      </w:pPr>
      <w:bookmarkStart w:id="146" w:name="ux76eeux6807-4"/>
      <w:r>
        <w:t>目标</w:t>
      </w:r>
    </w:p>
    <w:p w14:paraId="3F75F4EC">
      <w:pPr>
        <w:pStyle w:val="3"/>
        <w:rPr>
          <w:rFonts w:ascii="Times New Roman" w:hAnsi="Times New Roman" w:eastAsia="宋体" w:cs="Times New Roman"/>
          <w:sz w:val="24"/>
          <w:szCs w:val="24"/>
        </w:rPr>
      </w:pPr>
      <w:r>
        <w:rPr>
          <w:rFonts w:ascii="Times New Roman" w:hAnsi="Times New Roman" w:eastAsia="宋体" w:cs="Times New Roman"/>
          <w:sz w:val="24"/>
          <w:szCs w:val="24"/>
        </w:rPr>
        <w:t>在真实台区、专变用户场景验证模型准确性、业务可用性和推广价值。</w:t>
      </w:r>
    </w:p>
    <w:bookmarkEnd w:id="146"/>
    <w:p w14:paraId="2E7812F7">
      <w:pPr>
        <w:pStyle w:val="5"/>
        <w:widowControl/>
      </w:pPr>
      <w:bookmarkStart w:id="147" w:name="ux5de5ux4f5cux5185ux5bb9-4"/>
      <w:r>
        <w:t>工作内容</w:t>
      </w:r>
    </w:p>
    <w:p w14:paraId="3C0416B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现场部署；</w:t>
      </w:r>
    </w:p>
    <w:p w14:paraId="7085FAE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在线运行；</w:t>
      </w:r>
    </w:p>
    <w:p w14:paraId="5A895C0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人工核查；</w:t>
      </w:r>
    </w:p>
    <w:p w14:paraId="202B442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模型优化；</w:t>
      </w:r>
    </w:p>
    <w:p w14:paraId="7FB5B4B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业务成效评估；</w:t>
      </w:r>
    </w:p>
    <w:p w14:paraId="67684514">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成果总结。</w:t>
      </w:r>
    </w:p>
    <w:bookmarkEnd w:id="147"/>
    <w:p w14:paraId="1DCDA5DE">
      <w:pPr>
        <w:pStyle w:val="5"/>
        <w:widowControl/>
      </w:pPr>
      <w:bookmarkStart w:id="148" w:name="ux9636ux6bb5ux6210ux679c-4"/>
      <w:r>
        <w:t>阶段成果</w:t>
      </w:r>
    </w:p>
    <w:p w14:paraId="5865041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试点验证报告；</w:t>
      </w:r>
    </w:p>
    <w:p w14:paraId="524A30C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模型优化报告；</w:t>
      </w:r>
    </w:p>
    <w:p w14:paraId="092D110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业务成效报告；</w:t>
      </w:r>
    </w:p>
    <w:p w14:paraId="62C7B3F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标准化接口文档；</w:t>
      </w:r>
    </w:p>
    <w:p w14:paraId="0FA02A9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推广应用建议。</w:t>
      </w:r>
    </w:p>
    <w:bookmarkEnd w:id="128"/>
    <w:bookmarkEnd w:id="145"/>
    <w:bookmarkEnd w:id="148"/>
    <w:p w14:paraId="3650EA35">
      <w:pPr>
        <w:pStyle w:val="2"/>
        <w:widowControl/>
        <w:numPr>
          <w:ilvl w:val="0"/>
          <w:numId w:val="1"/>
        </w:numPr>
        <w:ind w:left="0" w:leftChars="0" w:firstLine="0" w:firstLineChars="0"/>
        <w:rPr>
          <w:b w:val="0"/>
          <w:bdr w:val="none" w:sz="0" w:space="0"/>
        </w:rPr>
      </w:pPr>
      <w:bookmarkStart w:id="149" w:name="ux9a8cux6536ux6307ux6807ux5efaux8bae"/>
      <w:r>
        <w:t>验收指标建议</w:t>
      </w:r>
    </w:p>
    <w:p w14:paraId="50D8244C">
      <w:pPr>
        <w:pStyle w:val="4"/>
        <w:widowControl/>
        <w:numPr>
          <w:ilvl w:val="0"/>
          <w:numId w:val="12"/>
        </w:numPr>
        <w:ind w:left="0" w:leftChars="0" w:firstLine="0" w:firstLineChars="0"/>
        <w:rPr>
          <w:b w:val="0"/>
          <w:bdr w:val="none" w:sz="0" w:space="0"/>
        </w:rPr>
      </w:pPr>
      <w:bookmarkStart w:id="150" w:name="ux529fux80fdux9a8cux6536"/>
      <w:r>
        <w:t>功能验收</w:t>
      </w:r>
    </w:p>
    <w:p w14:paraId="74D88C3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能够采集并保存事件前后波形；</w:t>
      </w:r>
    </w:p>
    <w:p w14:paraId="033FE8F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能够兼容智能融合终端 256 点/周波和专变/ECU 终端 512 点/周波数据；</w:t>
      </w:r>
    </w:p>
    <w:p w14:paraId="509E19E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能够计算 12 项基础电能质量指标；</w:t>
      </w:r>
    </w:p>
    <w:p w14:paraId="0BD7D6F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能够识别典型电能质量事件；</w:t>
      </w:r>
    </w:p>
    <w:p w14:paraId="0756879E">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能够进行跨终端事件关联和协同诊断；</w:t>
      </w:r>
    </w:p>
    <w:p w14:paraId="60BA69E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能够输出事件摘要；</w:t>
      </w:r>
    </w:p>
    <w:p w14:paraId="41DACB13">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能够进行台区和专变用户健康评分；</w:t>
      </w:r>
    </w:p>
    <w:p w14:paraId="0B1CDF5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能够生成电能质量分析报告；</w:t>
      </w:r>
    </w:p>
    <w:p w14:paraId="138241CC">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能够通过大模型进行自然语言查询；</w:t>
      </w:r>
    </w:p>
    <w:p w14:paraId="2DFBB10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能够输出治理建议和证据依据。</w:t>
      </w:r>
    </w:p>
    <w:bookmarkEnd w:id="150"/>
    <w:p w14:paraId="4FDCF91C">
      <w:pPr>
        <w:pStyle w:val="4"/>
        <w:widowControl/>
        <w:numPr>
          <w:ilvl w:val="0"/>
          <w:numId w:val="12"/>
        </w:numPr>
        <w:ind w:left="0" w:leftChars="0" w:firstLine="0" w:firstLineChars="0"/>
        <w:rPr>
          <w:b w:val="0"/>
          <w:bdr w:val="none" w:sz="0" w:space="0"/>
        </w:rPr>
      </w:pPr>
      <w:bookmarkStart w:id="151" w:name="ux6027ux80fdux9a8cux6536"/>
      <w:r>
        <w:t>性能验收</w:t>
      </w:r>
    </w:p>
    <w:p w14:paraId="6A10CFAF">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事件检测漏报率满足试点要求；</w:t>
      </w:r>
    </w:p>
    <w:p w14:paraId="4F974F5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事件分类准确率达到课题设定目标；</w:t>
      </w:r>
    </w:p>
    <w:p w14:paraId="30C29530">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跨终端事件关联准确率达到课题设定目标；</w:t>
      </w:r>
    </w:p>
    <w:p w14:paraId="1CDC0D52">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256 点/周波与 512 点/周波样本的模型兼容性达到课题设定目标；</w:t>
      </w:r>
    </w:p>
    <w:p w14:paraId="16E7BF06">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重要事件波形保留率达到课题设定目标；</w:t>
      </w:r>
    </w:p>
    <w:p w14:paraId="24AB64C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波形上传数据量较全量上传明显降低；</w:t>
      </w:r>
    </w:p>
    <w:p w14:paraId="5F3CA3F8">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端侧推理耗时满足实时性要求；</w:t>
      </w:r>
    </w:p>
    <w:p w14:paraId="3384A8E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平台查询和报告生成满足业务使用要求。</w:t>
      </w:r>
    </w:p>
    <w:bookmarkEnd w:id="151"/>
    <w:p w14:paraId="46C90BF5">
      <w:pPr>
        <w:pStyle w:val="4"/>
        <w:widowControl/>
        <w:numPr>
          <w:ilvl w:val="0"/>
          <w:numId w:val="12"/>
        </w:numPr>
        <w:ind w:left="0" w:leftChars="0" w:firstLine="0" w:firstLineChars="0"/>
        <w:rPr>
          <w:b w:val="0"/>
          <w:bdr w:val="none" w:sz="0" w:space="0"/>
        </w:rPr>
      </w:pPr>
      <w:bookmarkStart w:id="152" w:name="ux4e1aux52a1ux9a8cux6536"/>
      <w:r>
        <w:t>业务验收</w:t>
      </w:r>
    </w:p>
    <w:p w14:paraId="2076CC69">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能够发现传统阈值告警难以及时识别的异常趋势；</w:t>
      </w:r>
    </w:p>
    <w:p w14:paraId="42C6800D">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能够减少人工分析波形的工作量；</w:t>
      </w:r>
    </w:p>
    <w:p w14:paraId="4B23F7BB">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能够辅助定位典型扰动来源；</w:t>
      </w:r>
    </w:p>
    <w:p w14:paraId="6D75ADD5">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能够指导台区、专变用户侧治理优先级排序；</w:t>
      </w:r>
    </w:p>
    <w:p w14:paraId="20B81147">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能够形成可复用的样本库和案例库；</w:t>
      </w:r>
    </w:p>
    <w:p w14:paraId="4E64ECEA">
      <w:pPr>
        <w:pStyle w:val="3"/>
        <w:widowControl/>
        <w:numPr>
          <w:ilvl w:val="0"/>
          <w:numId w:val="4"/>
        </w:numPr>
        <w:rPr>
          <w:rFonts w:ascii="Times New Roman" w:hAnsi="Times New Roman" w:eastAsia="宋体" w:cs="Times New Roman"/>
          <w:sz w:val="24"/>
          <w:szCs w:val="24"/>
        </w:rPr>
      </w:pPr>
      <w:r>
        <w:rPr>
          <w:rFonts w:ascii="Times New Roman" w:hAnsi="Times New Roman" w:eastAsia="宋体" w:cs="Times New Roman"/>
          <w:sz w:val="24"/>
          <w:szCs w:val="24"/>
        </w:rPr>
        <w:t>能够支撑后续规模化推广。</w:t>
      </w:r>
    </w:p>
    <w:bookmarkEnd w:id="149"/>
    <w:bookmarkEnd w:id="152"/>
    <w:p w14:paraId="0D2BB8B7">
      <w:pPr>
        <w:pStyle w:val="2"/>
        <w:widowControl/>
        <w:numPr>
          <w:ilvl w:val="0"/>
          <w:numId w:val="1"/>
        </w:numPr>
        <w:ind w:left="0" w:leftChars="0" w:firstLine="0" w:firstLineChars="0"/>
        <w:rPr>
          <w:b w:val="0"/>
          <w:bdr w:val="none" w:sz="0" w:space="0"/>
        </w:rPr>
      </w:pPr>
      <w:bookmarkStart w:id="153" w:name="ux98ceux9669ux4e0eux5bf9ux7b56"/>
      <w:r>
        <w:t>风险与对策</w:t>
      </w:r>
    </w:p>
    <w:tbl>
      <w:tblPr>
        <w:tblStyle w:val="2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3480"/>
        <w:gridCol w:w="3480"/>
      </w:tblGrid>
      <w:tr w14:paraId="45D602EE">
        <w:trPr>
          <w:trHeight w:val="0" w:hRule="atLeast"/>
          <w:tblHeader/>
          <w:jc w:val="center"/>
        </w:trPr>
        <w:tc>
          <w:tcPr>
            <w:tcW w:w="0" w:type="auto"/>
            <w:vAlign w:val="center"/>
          </w:tcPr>
          <w:p w14:paraId="65191BBE">
            <w:pPr>
              <w:pStyle w:val="24"/>
              <w:snapToGrid w:val="0"/>
              <w:spacing w:line="240" w:lineRule="auto"/>
              <w:ind w:left="0" w:leftChars="0" w:right="0" w:rightChars="0" w:firstLine="0" w:firstLineChars="0"/>
              <w:jc w:val="center"/>
              <w:rPr>
                <w:b/>
              </w:rPr>
            </w:pPr>
            <w:r>
              <w:rPr>
                <w:rFonts w:hint="eastAsia"/>
                <w:b/>
              </w:rPr>
              <w:t>风险</w:t>
            </w:r>
          </w:p>
        </w:tc>
        <w:tc>
          <w:tcPr>
            <w:tcW w:w="3480" w:type="dxa"/>
            <w:vAlign w:val="center"/>
          </w:tcPr>
          <w:p w14:paraId="0020DA4E">
            <w:pPr>
              <w:pStyle w:val="24"/>
              <w:snapToGrid w:val="0"/>
              <w:spacing w:line="240" w:lineRule="auto"/>
              <w:ind w:left="0" w:leftChars="0" w:right="0" w:rightChars="0" w:firstLine="0" w:firstLineChars="0"/>
              <w:jc w:val="center"/>
              <w:rPr>
                <w:b/>
              </w:rPr>
            </w:pPr>
            <w:r>
              <w:rPr>
                <w:rFonts w:hint="eastAsia"/>
                <w:b/>
              </w:rPr>
              <w:t>表现</w:t>
            </w:r>
          </w:p>
        </w:tc>
        <w:tc>
          <w:tcPr>
            <w:tcW w:w="3480" w:type="dxa"/>
            <w:vAlign w:val="center"/>
          </w:tcPr>
          <w:p w14:paraId="583BF799">
            <w:pPr>
              <w:pStyle w:val="24"/>
              <w:snapToGrid w:val="0"/>
              <w:spacing w:line="240" w:lineRule="auto"/>
              <w:ind w:left="0" w:leftChars="0" w:right="0" w:rightChars="0" w:firstLine="0" w:firstLineChars="0"/>
              <w:jc w:val="center"/>
              <w:rPr>
                <w:b/>
              </w:rPr>
            </w:pPr>
            <w:r>
              <w:rPr>
                <w:rFonts w:hint="eastAsia"/>
                <w:b/>
              </w:rPr>
              <w:t>对策</w:t>
            </w:r>
          </w:p>
        </w:tc>
      </w:tr>
      <w:tr w14:paraId="37CA81DC">
        <w:trPr>
          <w:trHeight w:val="0" w:hRule="atLeast"/>
          <w:jc w:val="center"/>
        </w:trPr>
        <w:tc>
          <w:tcPr>
            <w:tcW w:w="0" w:type="auto"/>
            <w:vAlign w:val="center"/>
          </w:tcPr>
          <w:p w14:paraId="26B88472">
            <w:pPr>
              <w:pStyle w:val="24"/>
              <w:snapToGrid w:val="0"/>
              <w:spacing w:line="240" w:lineRule="auto"/>
              <w:ind w:left="0" w:leftChars="0" w:right="0" w:rightChars="0" w:firstLine="0" w:firstLineChars="0"/>
              <w:jc w:val="left"/>
            </w:pPr>
            <w:r>
              <w:rPr>
                <w:rFonts w:hint="eastAsia"/>
              </w:rPr>
              <w:t>样本不足</w:t>
            </w:r>
          </w:p>
        </w:tc>
        <w:tc>
          <w:tcPr>
            <w:tcW w:w="3480" w:type="dxa"/>
            <w:vAlign w:val="center"/>
          </w:tcPr>
          <w:p w14:paraId="37AC3E84">
            <w:pPr>
              <w:pStyle w:val="24"/>
              <w:snapToGrid w:val="0"/>
              <w:spacing w:line="240" w:lineRule="auto"/>
              <w:ind w:left="0" w:leftChars="0" w:right="0" w:rightChars="0" w:firstLine="0" w:firstLineChars="0"/>
              <w:jc w:val="left"/>
            </w:pPr>
            <w:r>
              <w:rPr>
                <w:rFonts w:hint="eastAsia"/>
              </w:rPr>
              <w:t>典型事件数量少，模型难训练</w:t>
            </w:r>
          </w:p>
        </w:tc>
        <w:tc>
          <w:tcPr>
            <w:tcW w:w="3480" w:type="dxa"/>
            <w:vAlign w:val="center"/>
          </w:tcPr>
          <w:p w14:paraId="000EE182">
            <w:pPr>
              <w:pStyle w:val="24"/>
              <w:snapToGrid w:val="0"/>
              <w:spacing w:line="240" w:lineRule="auto"/>
              <w:ind w:left="0" w:leftChars="0" w:right="0" w:rightChars="0" w:firstLine="0" w:firstLineChars="0"/>
              <w:jc w:val="left"/>
            </w:pPr>
            <w:r>
              <w:rPr>
                <w:rFonts w:hint="eastAsia"/>
              </w:rPr>
              <w:t>先采用规则和无监督模型，持续积累样本</w:t>
            </w:r>
          </w:p>
        </w:tc>
      </w:tr>
      <w:tr w14:paraId="59533652">
        <w:trPr>
          <w:trHeight w:val="0" w:hRule="atLeast"/>
          <w:jc w:val="center"/>
        </w:trPr>
        <w:tc>
          <w:tcPr>
            <w:tcW w:w="0" w:type="auto"/>
            <w:vAlign w:val="center"/>
          </w:tcPr>
          <w:p w14:paraId="6B05B426">
            <w:pPr>
              <w:pStyle w:val="24"/>
              <w:snapToGrid w:val="0"/>
              <w:spacing w:line="240" w:lineRule="auto"/>
              <w:ind w:left="0" w:leftChars="0" w:right="0" w:rightChars="0" w:firstLine="0" w:firstLineChars="0"/>
              <w:jc w:val="left"/>
            </w:pPr>
            <w:r>
              <w:rPr>
                <w:rFonts w:hint="eastAsia"/>
              </w:rPr>
              <w:t>标签不一致</w:t>
            </w:r>
          </w:p>
        </w:tc>
        <w:tc>
          <w:tcPr>
            <w:tcW w:w="3480" w:type="dxa"/>
            <w:vAlign w:val="center"/>
          </w:tcPr>
          <w:p w14:paraId="0BDDD623">
            <w:pPr>
              <w:pStyle w:val="24"/>
              <w:snapToGrid w:val="0"/>
              <w:spacing w:line="240" w:lineRule="auto"/>
              <w:ind w:left="0" w:leftChars="0" w:right="0" w:rightChars="0" w:firstLine="0" w:firstLineChars="0"/>
              <w:jc w:val="left"/>
            </w:pPr>
            <w:r>
              <w:rPr>
                <w:rFonts w:hint="eastAsia"/>
              </w:rPr>
              <w:t>不同专家判断差异大</w:t>
            </w:r>
          </w:p>
        </w:tc>
        <w:tc>
          <w:tcPr>
            <w:tcW w:w="3480" w:type="dxa"/>
            <w:vAlign w:val="center"/>
          </w:tcPr>
          <w:p w14:paraId="7C3AF4AE">
            <w:pPr>
              <w:pStyle w:val="24"/>
              <w:snapToGrid w:val="0"/>
              <w:spacing w:line="240" w:lineRule="auto"/>
              <w:ind w:left="0" w:leftChars="0" w:right="0" w:rightChars="0" w:firstLine="0" w:firstLineChars="0"/>
              <w:jc w:val="left"/>
            </w:pPr>
            <w:r>
              <w:rPr>
                <w:rFonts w:hint="eastAsia"/>
              </w:rPr>
              <w:t>建立统一标签规范和复核机制</w:t>
            </w:r>
          </w:p>
        </w:tc>
      </w:tr>
      <w:tr w14:paraId="5C4247E1">
        <w:trPr>
          <w:trHeight w:val="0" w:hRule="atLeast"/>
          <w:jc w:val="center"/>
        </w:trPr>
        <w:tc>
          <w:tcPr>
            <w:tcW w:w="0" w:type="auto"/>
            <w:vAlign w:val="center"/>
          </w:tcPr>
          <w:p w14:paraId="394961A2">
            <w:pPr>
              <w:pStyle w:val="24"/>
              <w:snapToGrid w:val="0"/>
              <w:spacing w:line="240" w:lineRule="auto"/>
              <w:ind w:left="0" w:leftChars="0" w:right="0" w:rightChars="0" w:firstLine="0" w:firstLineChars="0"/>
              <w:jc w:val="left"/>
            </w:pPr>
            <w:r>
              <w:rPr>
                <w:rFonts w:hint="eastAsia"/>
              </w:rPr>
              <w:t>数据质量不稳定</w:t>
            </w:r>
          </w:p>
        </w:tc>
        <w:tc>
          <w:tcPr>
            <w:tcW w:w="3480" w:type="dxa"/>
            <w:vAlign w:val="center"/>
          </w:tcPr>
          <w:p w14:paraId="6E3A0D84">
            <w:pPr>
              <w:pStyle w:val="24"/>
              <w:snapToGrid w:val="0"/>
              <w:spacing w:line="240" w:lineRule="auto"/>
              <w:ind w:left="0" w:leftChars="0" w:right="0" w:rightChars="0" w:firstLine="0" w:firstLineChars="0"/>
              <w:jc w:val="left"/>
            </w:pPr>
            <w:r>
              <w:rPr>
                <w:rFonts w:hint="eastAsia"/>
              </w:rPr>
              <w:t>采样缺失、通道错位、时间不同步</w:t>
            </w:r>
          </w:p>
        </w:tc>
        <w:tc>
          <w:tcPr>
            <w:tcW w:w="3480" w:type="dxa"/>
            <w:vAlign w:val="center"/>
          </w:tcPr>
          <w:p w14:paraId="10009DA8">
            <w:pPr>
              <w:pStyle w:val="24"/>
              <w:snapToGrid w:val="0"/>
              <w:spacing w:line="240" w:lineRule="auto"/>
              <w:ind w:left="0" w:leftChars="0" w:right="0" w:rightChars="0" w:firstLine="0" w:firstLineChars="0"/>
              <w:jc w:val="left"/>
            </w:pPr>
            <w:r>
              <w:rPr>
                <w:rFonts w:hint="eastAsia"/>
              </w:rPr>
              <w:t>建立数据质量校验和终端自检机制</w:t>
            </w:r>
            <w:bookmarkStart w:id="160" w:name="_GoBack"/>
            <w:bookmarkEnd w:id="160"/>
          </w:p>
        </w:tc>
      </w:tr>
      <w:tr w14:paraId="2E9C1D69">
        <w:trPr>
          <w:trHeight w:val="0" w:hRule="atLeast"/>
          <w:jc w:val="center"/>
        </w:trPr>
        <w:tc>
          <w:tcPr>
            <w:tcW w:w="0" w:type="auto"/>
            <w:vAlign w:val="center"/>
          </w:tcPr>
          <w:p w14:paraId="2E9DE703">
            <w:pPr>
              <w:pStyle w:val="24"/>
              <w:snapToGrid w:val="0"/>
              <w:spacing w:line="240" w:lineRule="auto"/>
              <w:ind w:left="0" w:leftChars="0" w:right="0" w:rightChars="0" w:firstLine="0" w:firstLineChars="0"/>
              <w:jc w:val="left"/>
            </w:pPr>
            <w:r>
              <w:rPr>
                <w:rFonts w:hint="eastAsia"/>
              </w:rPr>
              <w:t>多终端数据不一致</w:t>
            </w:r>
          </w:p>
        </w:tc>
        <w:tc>
          <w:tcPr>
            <w:tcW w:w="3480" w:type="dxa"/>
            <w:vAlign w:val="center"/>
          </w:tcPr>
          <w:p w14:paraId="037628F7">
            <w:pPr>
              <w:pStyle w:val="24"/>
              <w:snapToGrid w:val="0"/>
              <w:spacing w:line="240" w:lineRule="auto"/>
              <w:ind w:left="0" w:leftChars="0" w:right="0" w:rightChars="0" w:firstLine="0" w:firstLineChars="0"/>
              <w:jc w:val="left"/>
            </w:pPr>
            <w:r>
              <w:rPr>
                <w:rFonts w:hint="eastAsia"/>
              </w:rPr>
              <w:t>不同终端采样点数、时间戳、通道命名不统一</w:t>
            </w:r>
          </w:p>
        </w:tc>
        <w:tc>
          <w:tcPr>
            <w:tcW w:w="3480" w:type="dxa"/>
            <w:vAlign w:val="center"/>
          </w:tcPr>
          <w:p w14:paraId="78837540">
            <w:pPr>
              <w:pStyle w:val="24"/>
              <w:snapToGrid w:val="0"/>
              <w:spacing w:line="240" w:lineRule="auto"/>
              <w:ind w:left="0" w:leftChars="0" w:right="0" w:rightChars="0" w:firstLine="0" w:firstLineChars="0"/>
              <w:jc w:val="left"/>
            </w:pPr>
            <w:r>
              <w:rPr>
                <w:rFonts w:hint="eastAsia"/>
              </w:rPr>
              <w:t>建立统一终端元数据和采样规格描述</w:t>
            </w:r>
          </w:p>
        </w:tc>
      </w:tr>
      <w:tr w14:paraId="776ACECE">
        <w:trPr>
          <w:trHeight w:val="0" w:hRule="atLeast"/>
          <w:jc w:val="center"/>
        </w:trPr>
        <w:tc>
          <w:tcPr>
            <w:tcW w:w="0" w:type="auto"/>
            <w:vAlign w:val="center"/>
          </w:tcPr>
          <w:p w14:paraId="4DD5CCCA">
            <w:pPr>
              <w:pStyle w:val="24"/>
              <w:snapToGrid w:val="0"/>
              <w:spacing w:line="240" w:lineRule="auto"/>
              <w:ind w:left="0" w:leftChars="0" w:right="0" w:rightChars="0" w:firstLine="0" w:firstLineChars="0"/>
              <w:jc w:val="left"/>
            </w:pPr>
            <w:r>
              <w:rPr>
                <w:rFonts w:hint="eastAsia"/>
              </w:rPr>
              <w:t>跨终端关联困难</w:t>
            </w:r>
          </w:p>
        </w:tc>
        <w:tc>
          <w:tcPr>
            <w:tcW w:w="3480" w:type="dxa"/>
            <w:vAlign w:val="center"/>
          </w:tcPr>
          <w:p w14:paraId="2517CDAC">
            <w:pPr>
              <w:pStyle w:val="24"/>
              <w:snapToGrid w:val="0"/>
              <w:spacing w:line="240" w:lineRule="auto"/>
              <w:ind w:left="0" w:leftChars="0" w:right="0" w:rightChars="0" w:firstLine="0" w:firstLineChars="0"/>
              <w:jc w:val="left"/>
            </w:pPr>
            <w:r>
              <w:rPr>
                <w:rFonts w:hint="eastAsia"/>
              </w:rPr>
              <w:t>同一扰动在不同终端表现不同，时间存在偏移</w:t>
            </w:r>
          </w:p>
        </w:tc>
        <w:tc>
          <w:tcPr>
            <w:tcW w:w="3480" w:type="dxa"/>
            <w:vAlign w:val="center"/>
          </w:tcPr>
          <w:p w14:paraId="7B3847A0">
            <w:pPr>
              <w:pStyle w:val="24"/>
              <w:snapToGrid w:val="0"/>
              <w:spacing w:line="240" w:lineRule="auto"/>
              <w:ind w:left="0" w:leftChars="0" w:right="0" w:rightChars="0" w:firstLine="0" w:firstLineChars="0"/>
              <w:jc w:val="left"/>
            </w:pPr>
            <w:r>
              <w:rPr>
                <w:rFonts w:hint="eastAsia"/>
              </w:rPr>
              <w:t>建立时间对齐、拓扑关联和事件传播分析方法</w:t>
            </w:r>
          </w:p>
        </w:tc>
      </w:tr>
      <w:tr w14:paraId="3967A5CB">
        <w:trPr>
          <w:trHeight w:val="0" w:hRule="atLeast"/>
          <w:jc w:val="center"/>
        </w:trPr>
        <w:tc>
          <w:tcPr>
            <w:tcW w:w="0" w:type="auto"/>
            <w:vAlign w:val="center"/>
          </w:tcPr>
          <w:p w14:paraId="61E51EEA">
            <w:pPr>
              <w:pStyle w:val="24"/>
              <w:snapToGrid w:val="0"/>
              <w:spacing w:line="240" w:lineRule="auto"/>
              <w:ind w:left="0" w:leftChars="0" w:right="0" w:rightChars="0" w:firstLine="0" w:firstLineChars="0"/>
              <w:jc w:val="left"/>
            </w:pPr>
            <w:r>
              <w:rPr>
                <w:rFonts w:hint="eastAsia"/>
              </w:rPr>
              <w:t>模型不可解释</w:t>
            </w:r>
          </w:p>
        </w:tc>
        <w:tc>
          <w:tcPr>
            <w:tcW w:w="3480" w:type="dxa"/>
            <w:vAlign w:val="center"/>
          </w:tcPr>
          <w:p w14:paraId="52EDED77">
            <w:pPr>
              <w:pStyle w:val="24"/>
              <w:snapToGrid w:val="0"/>
              <w:spacing w:line="240" w:lineRule="auto"/>
              <w:ind w:left="0" w:leftChars="0" w:right="0" w:rightChars="0" w:firstLine="0" w:firstLineChars="0"/>
              <w:jc w:val="left"/>
            </w:pPr>
            <w:r>
              <w:rPr>
                <w:rFonts w:hint="eastAsia"/>
              </w:rPr>
              <w:t>现场人员不信任模型结论</w:t>
            </w:r>
          </w:p>
        </w:tc>
        <w:tc>
          <w:tcPr>
            <w:tcW w:w="3480" w:type="dxa"/>
            <w:vAlign w:val="center"/>
          </w:tcPr>
          <w:p w14:paraId="3CEF6A53">
            <w:pPr>
              <w:pStyle w:val="24"/>
              <w:snapToGrid w:val="0"/>
              <w:spacing w:line="240" w:lineRule="auto"/>
              <w:ind w:left="0" w:leftChars="0" w:right="0" w:rightChars="0" w:firstLine="0" w:firstLineChars="0"/>
              <w:jc w:val="left"/>
            </w:pPr>
            <w:r>
              <w:rPr>
                <w:rFonts w:hint="eastAsia"/>
              </w:rPr>
              <w:t>输出证据链、置信度和相似案例</w:t>
            </w:r>
          </w:p>
        </w:tc>
      </w:tr>
      <w:tr w14:paraId="6D0FAA94">
        <w:trPr>
          <w:trHeight w:val="0" w:hRule="atLeast"/>
          <w:jc w:val="center"/>
        </w:trPr>
        <w:tc>
          <w:tcPr>
            <w:tcW w:w="0" w:type="auto"/>
            <w:vAlign w:val="center"/>
          </w:tcPr>
          <w:p w14:paraId="033C8C48">
            <w:pPr>
              <w:pStyle w:val="24"/>
              <w:snapToGrid w:val="0"/>
              <w:spacing w:line="240" w:lineRule="auto"/>
              <w:ind w:left="0" w:leftChars="0" w:right="0" w:rightChars="0" w:firstLine="0" w:firstLineChars="0"/>
              <w:jc w:val="left"/>
            </w:pPr>
            <w:r>
              <w:rPr>
                <w:rFonts w:hint="eastAsia"/>
              </w:rPr>
              <w:t>端侧资源有限</w:t>
            </w:r>
          </w:p>
        </w:tc>
        <w:tc>
          <w:tcPr>
            <w:tcW w:w="3480" w:type="dxa"/>
            <w:vAlign w:val="center"/>
          </w:tcPr>
          <w:p w14:paraId="01F8BB25">
            <w:pPr>
              <w:pStyle w:val="24"/>
              <w:snapToGrid w:val="0"/>
              <w:spacing w:line="240" w:lineRule="auto"/>
              <w:ind w:left="0" w:leftChars="0" w:right="0" w:rightChars="0" w:firstLine="0" w:firstLineChars="0"/>
              <w:jc w:val="left"/>
            </w:pPr>
            <w:r>
              <w:rPr>
                <w:rFonts w:hint="eastAsia"/>
              </w:rPr>
              <w:t>模型过大无法部署</w:t>
            </w:r>
          </w:p>
        </w:tc>
        <w:tc>
          <w:tcPr>
            <w:tcW w:w="3480" w:type="dxa"/>
            <w:vAlign w:val="center"/>
          </w:tcPr>
          <w:p w14:paraId="094E8922">
            <w:pPr>
              <w:pStyle w:val="24"/>
              <w:snapToGrid w:val="0"/>
              <w:spacing w:line="240" w:lineRule="auto"/>
              <w:ind w:left="0" w:leftChars="0" w:right="0" w:rightChars="0" w:firstLine="0" w:firstLineChars="0"/>
              <w:jc w:val="left"/>
            </w:pPr>
            <w:r>
              <w:rPr>
                <w:rFonts w:hint="eastAsia"/>
              </w:rPr>
              <w:t>端侧部署轻量模型，复杂分析放在训练平台</w:t>
            </w:r>
          </w:p>
        </w:tc>
      </w:tr>
      <w:tr w14:paraId="42937C71">
        <w:trPr>
          <w:trHeight w:val="0" w:hRule="atLeast"/>
          <w:jc w:val="center"/>
        </w:trPr>
        <w:tc>
          <w:tcPr>
            <w:tcW w:w="0" w:type="auto"/>
            <w:vAlign w:val="center"/>
          </w:tcPr>
          <w:p w14:paraId="54A75E9E">
            <w:pPr>
              <w:pStyle w:val="24"/>
              <w:snapToGrid w:val="0"/>
              <w:spacing w:line="240" w:lineRule="auto"/>
              <w:ind w:left="0" w:leftChars="0" w:right="0" w:rightChars="0" w:firstLine="0" w:firstLineChars="0"/>
              <w:jc w:val="left"/>
            </w:pPr>
            <w:r>
              <w:rPr>
                <w:rFonts w:hint="eastAsia"/>
              </w:rPr>
              <w:t>大模型幻觉</w:t>
            </w:r>
          </w:p>
        </w:tc>
        <w:tc>
          <w:tcPr>
            <w:tcW w:w="3480" w:type="dxa"/>
            <w:vAlign w:val="center"/>
          </w:tcPr>
          <w:p w14:paraId="4162182A">
            <w:pPr>
              <w:pStyle w:val="24"/>
              <w:snapToGrid w:val="0"/>
              <w:spacing w:line="240" w:lineRule="auto"/>
              <w:ind w:left="0" w:leftChars="0" w:right="0" w:rightChars="0" w:firstLine="0" w:firstLineChars="0"/>
              <w:jc w:val="left"/>
            </w:pPr>
            <w:r>
              <w:rPr>
                <w:rFonts w:hint="eastAsia"/>
              </w:rPr>
              <w:t>报告出现无依据结论</w:t>
            </w:r>
          </w:p>
        </w:tc>
        <w:tc>
          <w:tcPr>
            <w:tcW w:w="3480" w:type="dxa"/>
            <w:vAlign w:val="center"/>
          </w:tcPr>
          <w:p w14:paraId="7F1304B4">
            <w:pPr>
              <w:pStyle w:val="24"/>
              <w:snapToGrid w:val="0"/>
              <w:spacing w:line="240" w:lineRule="auto"/>
              <w:ind w:left="0" w:leftChars="0" w:right="0" w:rightChars="0" w:firstLine="0" w:firstLineChars="0"/>
              <w:jc w:val="left"/>
            </w:pPr>
            <w:r>
              <w:rPr>
                <w:rFonts w:hint="eastAsia"/>
              </w:rPr>
              <w:t>采用检索增强、工具调用和人工审核</w:t>
            </w:r>
          </w:p>
        </w:tc>
      </w:tr>
      <w:tr w14:paraId="68DA26E0">
        <w:trPr>
          <w:trHeight w:val="0" w:hRule="atLeast"/>
          <w:jc w:val="center"/>
        </w:trPr>
        <w:tc>
          <w:tcPr>
            <w:tcW w:w="1896" w:type="dxa"/>
            <w:vAlign w:val="center"/>
          </w:tcPr>
          <w:p w14:paraId="7C71DD59">
            <w:pPr>
              <w:pStyle w:val="24"/>
              <w:snapToGrid w:val="0"/>
              <w:spacing w:line="240" w:lineRule="auto"/>
              <w:ind w:left="0" w:leftChars="0" w:right="0" w:rightChars="0" w:firstLine="0" w:firstLineChars="0"/>
              <w:jc w:val="left"/>
            </w:pPr>
            <w:r>
              <w:rPr>
                <w:rFonts w:hint="eastAsia"/>
              </w:rPr>
              <w:t>业务闭环不足</w:t>
            </w:r>
          </w:p>
        </w:tc>
        <w:tc>
          <w:tcPr>
            <w:tcW w:w="3480" w:type="dxa"/>
            <w:vAlign w:val="center"/>
          </w:tcPr>
          <w:p w14:paraId="163CC6EE">
            <w:pPr>
              <w:pStyle w:val="24"/>
              <w:snapToGrid w:val="0"/>
              <w:spacing w:line="240" w:lineRule="auto"/>
              <w:ind w:left="0" w:leftChars="0" w:right="0" w:rightChars="0" w:firstLine="0" w:firstLineChars="0"/>
              <w:jc w:val="left"/>
            </w:pPr>
            <w:r>
              <w:rPr>
                <w:rFonts w:hint="eastAsia"/>
              </w:rPr>
              <w:t>只有分析，没有治理效果</w:t>
            </w:r>
          </w:p>
        </w:tc>
        <w:tc>
          <w:tcPr>
            <w:tcW w:w="3480" w:type="dxa"/>
            <w:vAlign w:val="center"/>
          </w:tcPr>
          <w:p w14:paraId="60D994D3">
            <w:pPr>
              <w:pStyle w:val="24"/>
              <w:snapToGrid w:val="0"/>
              <w:spacing w:line="240" w:lineRule="auto"/>
              <w:ind w:left="0" w:leftChars="0" w:right="0" w:rightChars="0" w:firstLine="0" w:firstLineChars="0"/>
              <w:jc w:val="left"/>
            </w:pPr>
            <w:r>
              <w:rPr>
                <w:rFonts w:hint="eastAsia"/>
              </w:rPr>
              <w:t>接入工单和治理记录，形成闭环评估</w:t>
            </w:r>
          </w:p>
        </w:tc>
      </w:tr>
      <w:bookmarkEnd w:id="153"/>
    </w:tbl>
    <w:p w14:paraId="30B4D574">
      <w:pPr>
        <w:pStyle w:val="2"/>
        <w:widowControl/>
        <w:numPr>
          <w:ilvl w:val="0"/>
          <w:numId w:val="1"/>
        </w:numPr>
        <w:ind w:left="0" w:leftChars="0" w:firstLine="0" w:firstLineChars="0"/>
        <w:rPr>
          <w:b w:val="0"/>
          <w:bdr w:val="none" w:sz="0" w:space="0"/>
        </w:rPr>
      </w:pPr>
      <w:bookmarkStart w:id="154" w:name="ux63a8ux8350ux4f18ux5148ux7ea7"/>
      <w:r>
        <w:t>推荐优先级</w:t>
      </w:r>
    </w:p>
    <w:p w14:paraId="27CDDBA7">
      <w:pPr>
        <w:pStyle w:val="3"/>
        <w:rPr>
          <w:rFonts w:ascii="Times New Roman" w:hAnsi="Times New Roman" w:eastAsia="宋体" w:cs="Times New Roman"/>
          <w:sz w:val="24"/>
          <w:szCs w:val="24"/>
        </w:rPr>
      </w:pPr>
      <w:r>
        <w:rPr>
          <w:rFonts w:ascii="Times New Roman" w:hAnsi="Times New Roman" w:eastAsia="宋体" w:cs="Times New Roman"/>
          <w:sz w:val="24"/>
          <w:szCs w:val="24"/>
        </w:rPr>
        <w:t>建议优先开展以下四个方向：</w:t>
      </w:r>
    </w:p>
    <w:p w14:paraId="13EC789E">
      <w:pPr>
        <w:pStyle w:val="4"/>
        <w:widowControl/>
      </w:pPr>
      <w:bookmarkStart w:id="155" w:name="X2658e8d039ac98293109bfd41733f58d337aa51"/>
      <w:r>
        <w:t>第一优先级：电能质量事件智能诊断</w:t>
      </w:r>
    </w:p>
    <w:p w14:paraId="367F7AED">
      <w:pPr>
        <w:pStyle w:val="3"/>
        <w:rPr>
          <w:rFonts w:ascii="Times New Roman" w:hAnsi="Times New Roman" w:eastAsia="宋体" w:cs="Times New Roman"/>
          <w:sz w:val="24"/>
          <w:szCs w:val="24"/>
        </w:rPr>
      </w:pPr>
      <w:r>
        <w:rPr>
          <w:rFonts w:ascii="Times New Roman" w:hAnsi="Times New Roman" w:eastAsia="宋体" w:cs="Times New Roman"/>
          <w:sz w:val="24"/>
          <w:szCs w:val="24"/>
        </w:rPr>
        <w:t>该方向直接基于现有 12 项功能扩展，技术路径清晰，容易形成演示和试点效果。</w:t>
      </w:r>
    </w:p>
    <w:bookmarkEnd w:id="155"/>
    <w:p w14:paraId="351B36FA">
      <w:pPr>
        <w:pStyle w:val="4"/>
        <w:widowControl/>
      </w:pPr>
      <w:bookmarkStart w:id="156" w:name="Xc93357d8a4fe5d5cdfea9422ce9b3aca137b7d3"/>
      <w:r>
        <w:t>第二优先级：扰动源识别与责任辅助判定</w:t>
      </w:r>
    </w:p>
    <w:p w14:paraId="77A1ED17">
      <w:pPr>
        <w:pStyle w:val="3"/>
        <w:rPr>
          <w:rFonts w:ascii="Times New Roman" w:hAnsi="Times New Roman" w:eastAsia="宋体" w:cs="Times New Roman"/>
          <w:sz w:val="24"/>
          <w:szCs w:val="24"/>
        </w:rPr>
      </w:pPr>
      <w:r>
        <w:rPr>
          <w:rFonts w:ascii="Times New Roman" w:hAnsi="Times New Roman" w:eastAsia="宋体" w:cs="Times New Roman"/>
          <w:sz w:val="24"/>
          <w:szCs w:val="24"/>
        </w:rPr>
        <w:t>该方向业务价值高，可解决现场排查难、责任判断难、用户投诉解释难等问题。</w:t>
      </w:r>
    </w:p>
    <w:bookmarkEnd w:id="156"/>
    <w:p w14:paraId="433A2100">
      <w:pPr>
        <w:pStyle w:val="4"/>
        <w:widowControl/>
      </w:pPr>
      <w:bookmarkStart w:id="157" w:name="Xc0457a360ebe7d78cbf108ec717520d427366fe"/>
      <w:r>
        <w:t>第三优先级：多终端协同诊断与跨采样率分析</w:t>
      </w:r>
    </w:p>
    <w:p w14:paraId="38FE9FD2">
      <w:pPr>
        <w:pStyle w:val="3"/>
        <w:rPr>
          <w:rFonts w:ascii="Times New Roman" w:hAnsi="Times New Roman" w:eastAsia="宋体" w:cs="Times New Roman"/>
          <w:sz w:val="24"/>
          <w:szCs w:val="24"/>
        </w:rPr>
      </w:pPr>
      <w:r>
        <w:rPr>
          <w:rFonts w:ascii="Times New Roman" w:hAnsi="Times New Roman" w:eastAsia="宋体" w:cs="Times New Roman"/>
          <w:sz w:val="24"/>
          <w:szCs w:val="24"/>
        </w:rPr>
        <w:t>该方向体现本课题从单一终端扩展到智能融合终端和专变/ECU 终端的新增价值，可形成台区侧与专变用户侧联动分析能力。</w:t>
      </w:r>
    </w:p>
    <w:bookmarkEnd w:id="157"/>
    <w:p w14:paraId="5EB82600">
      <w:pPr>
        <w:pStyle w:val="4"/>
        <w:widowControl/>
      </w:pPr>
      <w:bookmarkStart w:id="158" w:name="Xe5d6f3316b9bdf9cd010c8b594535df415871dd"/>
      <w:r>
        <w:t>第四优先级：台区和专变用户健康画像与治理建议</w:t>
      </w:r>
    </w:p>
    <w:p w14:paraId="670F7823">
      <w:pPr>
        <w:pStyle w:val="3"/>
        <w:rPr>
          <w:rFonts w:ascii="Times New Roman" w:hAnsi="Times New Roman" w:eastAsia="宋体" w:cs="Times New Roman"/>
          <w:sz w:val="24"/>
          <w:szCs w:val="24"/>
        </w:rPr>
      </w:pPr>
      <w:r>
        <w:rPr>
          <w:rFonts w:ascii="Times New Roman" w:hAnsi="Times New Roman" w:eastAsia="宋体" w:cs="Times New Roman"/>
          <w:sz w:val="24"/>
          <w:szCs w:val="24"/>
        </w:rPr>
        <w:t>该方向适合牵头单位进行统一展示和成果固化，可形成平台化、规模化应用。</w:t>
      </w:r>
    </w:p>
    <w:p w14:paraId="42B5340C">
      <w:pPr>
        <w:pStyle w:val="3"/>
        <w:rPr>
          <w:rFonts w:ascii="Times New Roman" w:hAnsi="Times New Roman" w:eastAsia="宋体" w:cs="Times New Roman"/>
          <w:sz w:val="24"/>
          <w:szCs w:val="24"/>
        </w:rPr>
      </w:pPr>
      <w:r>
        <w:rPr>
          <w:rFonts w:ascii="Times New Roman" w:hAnsi="Times New Roman" w:eastAsia="宋体" w:cs="Times New Roman"/>
          <w:sz w:val="24"/>
          <w:szCs w:val="24"/>
        </w:rPr>
        <w:t>新能源与充电桩影响评估、设备隐患识别、大模型专家助手建议作为并行扩展方向，在数据积累和平台能力具备后逐步深化。</w:t>
      </w:r>
    </w:p>
    <w:bookmarkEnd w:id="154"/>
    <w:bookmarkEnd w:id="158"/>
    <w:p w14:paraId="77FCEAEA">
      <w:pPr>
        <w:pStyle w:val="2"/>
        <w:widowControl/>
        <w:numPr>
          <w:ilvl w:val="0"/>
          <w:numId w:val="1"/>
        </w:numPr>
        <w:ind w:left="0" w:leftChars="0" w:firstLine="0" w:firstLineChars="0"/>
        <w:rPr>
          <w:b w:val="0"/>
          <w:bdr w:val="none" w:sz="0" w:space="0"/>
        </w:rPr>
      </w:pPr>
      <w:bookmarkStart w:id="159" w:name="ux7ed3ux8bba"/>
      <w:r>
        <w:t>结论</w:t>
      </w:r>
    </w:p>
    <w:p w14:paraId="69649472">
      <w:pPr>
        <w:pStyle w:val="3"/>
        <w:rPr>
          <w:rFonts w:ascii="Times New Roman" w:hAnsi="Times New Roman" w:eastAsia="宋体" w:cs="Times New Roman"/>
          <w:sz w:val="24"/>
          <w:szCs w:val="24"/>
        </w:rPr>
      </w:pPr>
      <w:r>
        <w:rPr>
          <w:rFonts w:ascii="Times New Roman" w:hAnsi="Times New Roman" w:eastAsia="宋体" w:cs="Times New Roman"/>
          <w:sz w:val="24"/>
          <w:szCs w:val="24"/>
        </w:rPr>
        <w:t>本课题应以智能融合终端和专变/ECU 终端的高频波形采集能力为基础，以标准电能质量算法为可信底座，以 AI 模型为智能分析引擎，以大模型为交互和报告生成入口，形成从“采集、计算、识别、关联、归因、预测、建议、报告、工单”的完整业务闭环。</w:t>
      </w:r>
    </w:p>
    <w:p w14:paraId="474F3328">
      <w:pPr>
        <w:pStyle w:val="3"/>
        <w:rPr>
          <w:rFonts w:ascii="Times New Roman" w:hAnsi="Times New Roman" w:eastAsia="宋体" w:cs="Times New Roman"/>
          <w:sz w:val="24"/>
          <w:szCs w:val="24"/>
        </w:rPr>
      </w:pPr>
      <w:r>
        <w:rPr>
          <w:rFonts w:ascii="Times New Roman" w:hAnsi="Times New Roman" w:eastAsia="宋体" w:cs="Times New Roman"/>
          <w:sz w:val="24"/>
          <w:szCs w:val="24"/>
        </w:rPr>
        <w:t>建议课题组围绕以下主线推进：</w:t>
      </w:r>
    </w:p>
    <w:p w14:paraId="44C0C9EE">
      <w:pPr>
        <w:pStyle w:val="3"/>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先建立统一数据规范、标签规范和样本库；</w:t>
      </w:r>
    </w:p>
    <w:p w14:paraId="4D94DE02">
      <w:pPr>
        <w:pStyle w:val="3"/>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再开展 256 点/周波与 512 点/周波兼容处理、事件识别、扰动源识别和风险预测模型训练；</w:t>
      </w:r>
    </w:p>
    <w:p w14:paraId="0D1F2FA3">
      <w:pPr>
        <w:pStyle w:val="3"/>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同步建设多终端协同诊断、台区/专变用户画像和大模型专家助手；</w:t>
      </w:r>
    </w:p>
    <w:p w14:paraId="76CCF88A">
      <w:pPr>
        <w:pStyle w:val="3"/>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最后通过真实台区、专变用户试点验证业务价值。</w:t>
      </w:r>
    </w:p>
    <w:p w14:paraId="5EA3D479">
      <w:pPr>
        <w:pStyle w:val="3"/>
        <w:rPr>
          <w:rFonts w:ascii="Times New Roman" w:hAnsi="Times New Roman" w:eastAsia="宋体" w:cs="Times New Roman"/>
          <w:sz w:val="24"/>
          <w:szCs w:val="24"/>
        </w:rPr>
      </w:pPr>
      <w:r>
        <w:rPr>
          <w:rFonts w:ascii="Times New Roman" w:hAnsi="Times New Roman" w:eastAsia="宋体" w:cs="Times New Roman"/>
          <w:sz w:val="24"/>
          <w:szCs w:val="24"/>
        </w:rPr>
        <w:t>最终成果应不仅停留在电能质量指标计算，而是形成面向智能融合终端和专变/ECU 终端的电能质量 AI 增强能力，为低压台区精益化运维、专变用户电能质量治理、专变用户侧扰动识别、新能源接入评估和电能质量主动服务提供支撑。</w:t>
      </w:r>
    </w:p>
    <w:bookmarkEnd w:id="0"/>
    <w:bookmarkEnd w:id="159"/>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libri Light">
    <w:altName w:val="Helvetica Neue"/>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D79CE"/>
    <w:multiLevelType w:val="singleLevel"/>
    <w:tmpl w:val="AF6D79CE"/>
    <w:lvl w:ilvl="0" w:tentative="0">
      <w:start w:val="1"/>
      <w:numFmt w:val="decimal"/>
      <w:suff w:val="space"/>
      <w:lvlText w:val="%1."/>
      <w:lvlJc w:val="left"/>
      <w:pPr>
        <w:ind w:left="0" w:firstLine="0"/>
      </w:pPr>
      <w:rPr>
        <w:rFonts w:hint="default"/>
      </w:rPr>
    </w:lvl>
  </w:abstractNum>
  <w:abstractNum w:abstractNumId="1">
    <w:nsid w:val="B6FC74E7"/>
    <w:multiLevelType w:val="singleLevel"/>
    <w:tmpl w:val="B6FC74E7"/>
    <w:lvl w:ilvl="0" w:tentative="0">
      <w:start w:val="1"/>
      <w:numFmt w:val="decimal"/>
      <w:suff w:val="space"/>
      <w:lvlText w:val="%1."/>
      <w:lvlJc w:val="left"/>
      <w:pPr>
        <w:ind w:left="0" w:firstLine="480"/>
      </w:pPr>
      <w:rPr>
        <w:rFonts w:hint="default"/>
      </w:rPr>
    </w:lvl>
  </w:abstractNum>
  <w:abstractNum w:abstractNumId="2">
    <w:nsid w:val="D57F39F3"/>
    <w:multiLevelType w:val="singleLevel"/>
    <w:tmpl w:val="D57F39F3"/>
    <w:lvl w:ilvl="0" w:tentative="0">
      <w:start w:val="1"/>
      <w:numFmt w:val="decimal"/>
      <w:suff w:val="space"/>
      <w:lvlText w:val="2.%1"/>
      <w:lvlJc w:val="left"/>
      <w:pPr>
        <w:ind w:left="0" w:firstLine="0"/>
      </w:pPr>
      <w:rPr>
        <w:rFonts w:hint="default"/>
      </w:rPr>
    </w:lvl>
  </w:abstractNum>
  <w:abstractNum w:abstractNumId="3">
    <w:nsid w:val="DFFCA6F6"/>
    <w:multiLevelType w:val="singleLevel"/>
    <w:tmpl w:val="DFFCA6F6"/>
    <w:lvl w:ilvl="0" w:tentative="0">
      <w:start w:val="1"/>
      <w:numFmt w:val="decimal"/>
      <w:suff w:val="space"/>
      <w:lvlText w:val="%1."/>
      <w:lvlJc w:val="left"/>
      <w:pPr>
        <w:ind w:left="0" w:firstLine="480"/>
      </w:pPr>
      <w:rPr>
        <w:rFonts w:hint="default"/>
      </w:rPr>
    </w:lvl>
  </w:abstractNum>
  <w:abstractNum w:abstractNumId="4">
    <w:nsid w:val="ECFB2811"/>
    <w:multiLevelType w:val="singleLevel"/>
    <w:tmpl w:val="ECFB2811"/>
    <w:lvl w:ilvl="0" w:tentative="0">
      <w:start w:val="1"/>
      <w:numFmt w:val="decimal"/>
      <w:suff w:val="space"/>
      <w:lvlText w:val="%1."/>
      <w:lvlJc w:val="left"/>
      <w:pPr>
        <w:ind w:left="0" w:firstLine="480"/>
      </w:pPr>
      <w:rPr>
        <w:rFonts w:hint="default"/>
      </w:rPr>
    </w:lvl>
  </w:abstractNum>
  <w:abstractNum w:abstractNumId="5">
    <w:nsid w:val="F9BECCE5"/>
    <w:multiLevelType w:val="singleLevel"/>
    <w:tmpl w:val="F9BECCE5"/>
    <w:lvl w:ilvl="0" w:tentative="0">
      <w:start w:val="1"/>
      <w:numFmt w:val="decimal"/>
      <w:suff w:val="space"/>
      <w:lvlText w:val="3.%1"/>
      <w:lvlJc w:val="left"/>
      <w:pPr>
        <w:ind w:left="0" w:firstLine="0"/>
      </w:pPr>
      <w:rPr>
        <w:rFonts w:hint="default"/>
      </w:rPr>
    </w:lvl>
  </w:abstractNum>
  <w:abstractNum w:abstractNumId="6">
    <w:nsid w:val="FB74C17C"/>
    <w:multiLevelType w:val="singleLevel"/>
    <w:tmpl w:val="FB74C17C"/>
    <w:lvl w:ilvl="0" w:tentative="0">
      <w:start w:val="1"/>
      <w:numFmt w:val="decimal"/>
      <w:suff w:val="space"/>
      <w:lvlText w:val="1.%1"/>
      <w:lvlJc w:val="left"/>
      <w:pPr>
        <w:ind w:left="0" w:firstLine="0"/>
      </w:pPr>
      <w:rPr>
        <w:rFonts w:hint="default"/>
      </w:rPr>
    </w:lvl>
  </w:abstractNum>
  <w:abstractNum w:abstractNumId="7">
    <w:nsid w:val="FBEDBC02"/>
    <w:multiLevelType w:val="singleLevel"/>
    <w:tmpl w:val="FBEDBC02"/>
    <w:lvl w:ilvl="0" w:tentative="0">
      <w:start w:val="1"/>
      <w:numFmt w:val="decimal"/>
      <w:suff w:val="space"/>
      <w:lvlText w:val="4.%1"/>
      <w:lvlJc w:val="left"/>
      <w:pPr>
        <w:ind w:left="0" w:firstLine="0"/>
      </w:pPr>
      <w:rPr>
        <w:rFonts w:hint="default"/>
      </w:rPr>
    </w:lvl>
  </w:abstractNum>
  <w:abstractNum w:abstractNumId="8">
    <w:nsid w:val="FDBB4020"/>
    <w:multiLevelType w:val="singleLevel"/>
    <w:tmpl w:val="FDBB4020"/>
    <w:lvl w:ilvl="0" w:tentative="0">
      <w:start w:val="1"/>
      <w:numFmt w:val="decimal"/>
      <w:suff w:val="space"/>
      <w:lvlText w:val="%1."/>
      <w:lvlJc w:val="left"/>
      <w:pPr>
        <w:ind w:left="0" w:firstLine="480"/>
      </w:pPr>
      <w:rPr>
        <w:rFonts w:hint="default"/>
      </w:rPr>
    </w:lvl>
  </w:abstractNum>
  <w:abstractNum w:abstractNumId="9">
    <w:nsid w:val="FDE252DE"/>
    <w:multiLevelType w:val="singleLevel"/>
    <w:tmpl w:val="FDE252DE"/>
    <w:lvl w:ilvl="0" w:tentative="0">
      <w:start w:val="1"/>
      <w:numFmt w:val="decimal"/>
      <w:suff w:val="space"/>
      <w:lvlText w:val="%1."/>
      <w:lvlJc w:val="left"/>
      <w:pPr>
        <w:ind w:left="0" w:firstLine="480"/>
      </w:pPr>
      <w:rPr>
        <w:rFonts w:hint="default"/>
      </w:rPr>
    </w:lvl>
  </w:abstractNum>
  <w:abstractNum w:abstractNumId="1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1">
    <w:nsid w:val="35A22408"/>
    <w:multiLevelType w:val="singleLevel"/>
    <w:tmpl w:val="35A22408"/>
    <w:lvl w:ilvl="0" w:tentative="0">
      <w:start w:val="1"/>
      <w:numFmt w:val="decimal"/>
      <w:suff w:val="space"/>
      <w:lvlText w:val="9.%1"/>
      <w:lvlJc w:val="left"/>
      <w:pPr>
        <w:ind w:left="0" w:firstLine="0"/>
      </w:pPr>
      <w:rPr>
        <w:rFonts w:hint="default"/>
      </w:rPr>
    </w:lvl>
  </w:abstractNum>
  <w:abstractNum w:abstractNumId="12">
    <w:nsid w:val="6FFF9AC2"/>
    <w:multiLevelType w:val="singleLevel"/>
    <w:tmpl w:val="6FFF9AC2"/>
    <w:lvl w:ilvl="0" w:tentative="0">
      <w:start w:val="1"/>
      <w:numFmt w:val="decimal"/>
      <w:suff w:val="space"/>
      <w:lvlText w:val="5.%1"/>
      <w:lvlJc w:val="left"/>
      <w:pPr>
        <w:ind w:left="0" w:firstLine="0"/>
      </w:pPr>
      <w:rPr>
        <w:rFonts w:hint="default"/>
      </w:rPr>
    </w:lvl>
  </w:abstractNum>
  <w:num w:numId="1">
    <w:abstractNumId w:val="0"/>
  </w:num>
  <w:num w:numId="2">
    <w:abstractNumId w:val="6"/>
  </w:num>
  <w:num w:numId="3">
    <w:abstractNumId w:val="8"/>
  </w:num>
  <w:num w:numId="4">
    <w:abstractNumId w:val="10"/>
  </w:num>
  <w:num w:numId="5">
    <w:abstractNumId w:val="3"/>
  </w:num>
  <w:num w:numId="6">
    <w:abstractNumId w:val="2"/>
  </w:num>
  <w:num w:numId="7">
    <w:abstractNumId w:val="5"/>
  </w:num>
  <w:num w:numId="8">
    <w:abstractNumId w:val="4"/>
  </w:num>
  <w:num w:numId="9">
    <w:abstractNumId w:val="7"/>
  </w:num>
  <w:num w:numId="10">
    <w:abstractNumId w:val="1"/>
  </w:num>
  <w:num w:numId="11">
    <w:abstractNumId w:val="12"/>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2"/>
  </w:compat>
  <w:rsids>
    <w:rsidRoot w:val="00C8062D"/>
    <w:rsid w:val="006B1FB1"/>
    <w:rsid w:val="009D1868"/>
    <w:rsid w:val="00C57AB6"/>
    <w:rsid w:val="00C8062D"/>
    <w:rsid w:val="3BAF2ADD"/>
    <w:rsid w:val="6DEECD1E"/>
    <w:rsid w:val="6F757E52"/>
    <w:rsid w:val="779B4FA3"/>
    <w:rsid w:val="D7BB1BA7"/>
    <w:rsid w:val="DEF85276"/>
    <w:rsid w:val="DFFE3790"/>
    <w:rsid w:val="EDDFAFA9"/>
    <w:rsid w:val="F4E59F74"/>
    <w:rsid w:val="F5CD9AD8"/>
    <w:rsid w:val="FEF40E67"/>
    <w:rsid w:val="FFFFD1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next w:val="3"/>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3"/>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3"/>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3"/>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3"/>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3"/>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3"/>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3"/>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3"/>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next w:val="3"/>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6">
    <w:name w:val="footnote text"/>
    <w:basedOn w:val="1"/>
    <w:unhideWhenUsed/>
    <w:qFormat/>
    <w:uiPriority w:val="9"/>
  </w:style>
  <w:style w:type="paragraph" w:styleId="17">
    <w:name w:val="Title"/>
    <w:next w:val="3"/>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Hyperlink"/>
    <w:basedOn w:val="21"/>
    <w:uiPriority w:val="0"/>
    <w:rPr>
      <w:color w:val="4874CB" w:themeColor="accent1"/>
    </w:rPr>
  </w:style>
  <w:style w:type="character" w:customStyle="1" w:styleId="21">
    <w:name w:val="题注 字符"/>
    <w:basedOn w:val="19"/>
    <w:link w:val="1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link w:val="35"/>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color w:val="2D54A0"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rPr>
      <w:b/>
      <w:color w:val="008000"/>
    </w:rPr>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rPr>
      <w:color w:val="008000"/>
    </w:rPr>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63</Words>
  <Characters>362</Characters>
  <Lines>3</Lines>
  <Paragraphs>1</Paragraphs>
  <TotalTime>14</TotalTime>
  <ScaleCrop>false</ScaleCrop>
  <LinksUpToDate>false</LinksUpToDate>
  <CharactersWithSpaces>424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2026-06-30T15:34:00Z</dcterms:created>
  <dc:creator>张翔</dc:creator>
  <cp:lastModifiedBy>张翔</cp:lastModifiedBy>
  <dcterms:modified xsi:type="dcterms:W3CDTF">2026-06-30T15:45:04Z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6873620F1742CDE5CA71436A702FEDC4_42</vt:lpwstr>
  </property>
</Properties>
</file>