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D4E89"/>
          <w:sz w:val="56"/>
        </w:rPr>
        <w:t>FINANCIAL PROJECTIONS</w:t>
      </w:r>
    </w:p>
    <w:p>
      <w:pPr>
        <w:jc w:val="center"/>
      </w:pPr>
      <w:r>
        <w:rPr>
          <w:color w:val="666666"/>
          <w:sz w:val="28"/>
        </w:rPr>
        <w:t>3-Year Financial Model</w:t>
      </w:r>
    </w:p>
    <w:p/>
    <w:p>
      <w:pPr>
        <w:jc w:val="center"/>
      </w:pPr>
      <w:r>
        <w:rPr>
          <w:color w:val="666666"/>
          <w:sz w:val="24"/>
        </w:rPr>
        <w:t>Nyumba Yangu Ltd.</w:t>
      </w:r>
    </w:p>
    <w:p>
      <w:pPr>
        <w:jc w:val="center"/>
      </w:pPr>
      <w:r>
        <w:rPr>
          <w:color w:val="888888"/>
          <w:sz w:val="22"/>
        </w:rPr>
        <w:t>Dar es Salaam, Tanzania</w:t>
        <w:br/>
        <w:t>www.nyumbayangu.online</w:t>
        <w:br/>
        <w:br/>
        <w:t>August 2026</w:t>
      </w:r>
    </w:p>
    <w:p/>
    <w:p>
      <w:pPr>
        <w:jc w:val="center"/>
      </w:pPr>
      <w:r>
        <w:rPr>
          <w:color w:val="666666"/>
          <w:sz w:val="22"/>
        </w:rPr>
        <w:t>Prepared by:</w:t>
        <w:br/>
        <w:t>Eunice Chihoma — Co-Founder &amp; CEO</w:t>
        <w:br/>
        <w:t>Erick Mkingule — Co-Founder &amp; CTO</w:t>
      </w:r>
    </w:p>
    <w:p>
      <w:r>
        <w:br w:type="page"/>
      </w:r>
    </w:p>
    <w:p>
      <w:pPr>
        <w:pStyle w:val="Heading1"/>
      </w:pPr>
      <w:r>
        <w:rPr>
          <w:color w:val="1D4E89"/>
        </w:rPr>
        <w:t>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units per landlord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Free tier cap</w:t>
            </w:r>
          </w:p>
        </w:tc>
        <w:tc>
          <w:tcPr>
            <w:tcW w:type="dxa" w:w="4320"/>
          </w:tcPr>
          <w:p>
            <w:r>
              <w:t>3 units</w:t>
            </w:r>
          </w:p>
        </w:tc>
      </w:tr>
      <w:tr>
        <w:tc>
          <w:tcPr>
            <w:tcW w:type="dxa" w:w="4320"/>
          </w:tcPr>
          <w:p>
            <w:r>
              <w:t>Starter price</w:t>
            </w:r>
          </w:p>
        </w:tc>
        <w:tc>
          <w:tcPr>
            <w:tcW w:type="dxa" w:w="4320"/>
          </w:tcPr>
          <w:p>
            <w:r>
              <w:t>TZS 25,000/month</w:t>
            </w:r>
          </w:p>
        </w:tc>
      </w:tr>
      <w:tr>
        <w:tc>
          <w:tcPr>
            <w:tcW w:type="dxa" w:w="4320"/>
          </w:tcPr>
          <w:p>
            <w:r>
              <w:t>Growth price</w:t>
            </w:r>
          </w:p>
        </w:tc>
        <w:tc>
          <w:tcPr>
            <w:tcW w:type="dxa" w:w="4320"/>
          </w:tcPr>
          <w:p>
            <w:r>
              <w:t>TZS 60,000/month</w:t>
            </w:r>
          </w:p>
        </w:tc>
      </w:tr>
      <w:tr>
        <w:tc>
          <w:tcPr>
            <w:tcW w:type="dxa" w:w="4320"/>
          </w:tcPr>
          <w:p>
            <w:r>
              <w:t>Scale price</w:t>
            </w:r>
          </w:p>
        </w:tc>
        <w:tc>
          <w:tcPr>
            <w:tcW w:type="dxa" w:w="4320"/>
          </w:tcPr>
          <w:p>
            <w:r>
              <w:t>TZS 120,000/month</w:t>
            </w:r>
          </w:p>
        </w:tc>
      </w:tr>
      <w:tr>
        <w:tc>
          <w:tcPr>
            <w:tcW w:type="dxa" w:w="4320"/>
          </w:tcPr>
          <w:p>
            <w:r>
              <w:t>Blended ARPU</w:t>
            </w:r>
          </w:p>
        </w:tc>
        <w:tc>
          <w:tcPr>
            <w:tcW w:type="dxa" w:w="4320"/>
          </w:tcPr>
          <w:p>
            <w:r>
              <w:t>TZS 50,000/month</w:t>
            </w:r>
          </w:p>
        </w:tc>
      </w:tr>
      <w:tr>
        <w:tc>
          <w:tcPr>
            <w:tcW w:type="dxa" w:w="4320"/>
          </w:tcPr>
          <w:p>
            <w:r>
              <w:t>Monthly churn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New landlords/month (Y1)</w:t>
            </w:r>
          </w:p>
        </w:tc>
        <w:tc>
          <w:tcPr>
            <w:tcW w:type="dxa" w:w="4320"/>
          </w:tcPr>
          <w:p>
            <w:r>
              <w:t>8-10</w:t>
            </w:r>
          </w:p>
        </w:tc>
      </w:tr>
      <w:tr>
        <w:tc>
          <w:tcPr>
            <w:tcW w:type="dxa" w:w="4320"/>
          </w:tcPr>
          <w:p>
            <w:r>
              <w:t>New landlords/month (Y2)</w:t>
            </w:r>
          </w:p>
        </w:tc>
        <w:tc>
          <w:tcPr>
            <w:tcW w:type="dxa" w:w="4320"/>
          </w:tcPr>
          <w:p>
            <w:r>
              <w:t>25-30</w:t>
            </w:r>
          </w:p>
        </w:tc>
      </w:tr>
      <w:tr>
        <w:tc>
          <w:tcPr>
            <w:tcW w:type="dxa" w:w="4320"/>
          </w:tcPr>
          <w:p>
            <w:r>
              <w:t>New landlords/month (Y3)</w:t>
            </w:r>
          </w:p>
        </w:tc>
        <w:tc>
          <w:tcPr>
            <w:tcW w:type="dxa" w:w="4320"/>
          </w:tcPr>
          <w:p>
            <w:r>
              <w:t>50-60</w:t>
            </w:r>
          </w:p>
        </w:tc>
      </w:tr>
      <w:tr>
        <w:tc>
          <w:tcPr>
            <w:tcW w:type="dxa" w:w="4320"/>
          </w:tcPr>
          <w:p>
            <w:r>
              <w:t>Exchange rate</w:t>
            </w:r>
          </w:p>
        </w:tc>
        <w:tc>
          <w:tcPr>
            <w:tcW w:type="dxa" w:w="4320"/>
          </w:tcPr>
          <w:p>
            <w:r>
              <w:t>TZS 2,600 = USD 1</w:t>
            </w:r>
          </w:p>
        </w:tc>
      </w:tr>
    </w:tbl>
    <w:p/>
    <w:p>
      <w:pPr>
        <w:pStyle w:val="Heading1"/>
      </w:pPr>
      <w:r>
        <w:rPr>
          <w:color w:val="1D4E89"/>
        </w:rPr>
        <w:t>Year 1 - Monthly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Landlords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Paying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Revenue (TZS)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Costs (TZS)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Net (TZS)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250,000</w:t>
            </w:r>
          </w:p>
        </w:tc>
        <w:tc>
          <w:tcPr>
            <w:tcW w:type="dxa" w:w="1440"/>
          </w:tcPr>
          <w:p>
            <w:r>
              <w:t>1,200,000</w:t>
            </w:r>
          </w:p>
        </w:tc>
        <w:tc>
          <w:tcPr>
            <w:tcW w:type="dxa" w:w="1440"/>
          </w:tcPr>
          <w:p>
            <w:r>
              <w:t>-950,000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500,000</w:t>
            </w:r>
          </w:p>
        </w:tc>
        <w:tc>
          <w:tcPr>
            <w:tcW w:type="dxa" w:w="1440"/>
          </w:tcPr>
          <w:p>
            <w:r>
              <w:t>1,200,000</w:t>
            </w:r>
          </w:p>
        </w:tc>
        <w:tc>
          <w:tcPr>
            <w:tcW w:type="dxa" w:w="1440"/>
          </w:tcPr>
          <w:p>
            <w:r>
              <w:t>-700,000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850,000</w:t>
            </w:r>
          </w:p>
        </w:tc>
        <w:tc>
          <w:tcPr>
            <w:tcW w:type="dxa" w:w="1440"/>
          </w:tcPr>
          <w:p>
            <w:r>
              <w:t>1,800,000</w:t>
            </w:r>
          </w:p>
        </w:tc>
        <w:tc>
          <w:tcPr>
            <w:tcW w:type="dxa" w:w="1440"/>
          </w:tcPr>
          <w:p>
            <w:r>
              <w:t>-950,000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1,200,000</w:t>
            </w:r>
          </w:p>
        </w:tc>
        <w:tc>
          <w:tcPr>
            <w:tcW w:type="dxa" w:w="1440"/>
          </w:tcPr>
          <w:p>
            <w:r>
              <w:t>1,800,000</w:t>
            </w:r>
          </w:p>
        </w:tc>
        <w:tc>
          <w:tcPr>
            <w:tcW w:type="dxa" w:w="1440"/>
          </w:tcPr>
          <w:p>
            <w:r>
              <w:t>-600,000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1,550,000</w:t>
            </w:r>
          </w:p>
        </w:tc>
        <w:tc>
          <w:tcPr>
            <w:tcW w:type="dxa" w:w="1440"/>
          </w:tcPr>
          <w:p>
            <w:r>
              <w:t>1,800,000</w:t>
            </w:r>
          </w:p>
        </w:tc>
        <w:tc>
          <w:tcPr>
            <w:tcW w:type="dxa" w:w="1440"/>
          </w:tcPr>
          <w:p>
            <w:r>
              <w:t>-250,000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1,950,000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-550,000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2,350,000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-150,000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2,750,000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250,000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3,100,000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600,000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3,450,000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950,000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3,800,000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1,300,000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4,000,000</w:t>
            </w:r>
          </w:p>
        </w:tc>
        <w:tc>
          <w:tcPr>
            <w:tcW w:type="dxa" w:w="1440"/>
          </w:tcPr>
          <w:p>
            <w:r>
              <w:t>2,500,000</w:t>
            </w:r>
          </w:p>
        </w:tc>
        <w:tc>
          <w:tcPr>
            <w:tcW w:type="dxa" w:w="1440"/>
          </w:tcPr>
          <w:p>
            <w:r>
              <w:t>1,500,000</w:t>
            </w:r>
          </w:p>
        </w:tc>
      </w:tr>
    </w:tbl>
    <w:p/>
    <w:p>
      <w:pPr>
        <w:pStyle w:val="Heading1"/>
      </w:pPr>
      <w:r>
        <w:rPr>
          <w:color w:val="1D4E89"/>
        </w:rPr>
        <w:t>3-Year Revenue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Paying landlords (end of year)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</w:tr>
      <w:tr>
        <w:tc>
          <w:tcPr>
            <w:tcW w:type="dxa" w:w="2160"/>
          </w:tcPr>
          <w:p>
            <w:r>
              <w:t>Units under management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</w:tr>
      <w:tr>
        <w:tc>
          <w:tcPr>
            <w:tcW w:type="dxa" w:w="2160"/>
          </w:tcPr>
          <w:p>
            <w:r>
              <w:t>Monthly recurring revenue</w:t>
            </w:r>
          </w:p>
        </w:tc>
        <w:tc>
          <w:tcPr>
            <w:tcW w:type="dxa" w:w="2160"/>
          </w:tcPr>
          <w:p>
            <w:r>
              <w:t>TZS 4M</w:t>
            </w:r>
          </w:p>
        </w:tc>
        <w:tc>
          <w:tcPr>
            <w:tcW w:type="dxa" w:w="2160"/>
          </w:tcPr>
          <w:p>
            <w:r>
              <w:t>TZS 17.5M</w:t>
            </w:r>
          </w:p>
        </w:tc>
        <w:tc>
          <w:tcPr>
            <w:tcW w:type="dxa" w:w="2160"/>
          </w:tcPr>
          <w:p>
            <w:r>
              <w:t>TZS 50M</w:t>
            </w:r>
          </w:p>
        </w:tc>
      </w:tr>
      <w:tr>
        <w:tc>
          <w:tcPr>
            <w:tcW w:type="dxa" w:w="2160"/>
          </w:tcPr>
          <w:p>
            <w:r>
              <w:t>Annual revenue</w:t>
            </w:r>
          </w:p>
        </w:tc>
        <w:tc>
          <w:tcPr>
            <w:tcW w:type="dxa" w:w="2160"/>
          </w:tcPr>
          <w:p>
            <w:r>
              <w:t>TZS 30M</w:t>
            </w:r>
          </w:p>
        </w:tc>
        <w:tc>
          <w:tcPr>
            <w:tcW w:type="dxa" w:w="2160"/>
          </w:tcPr>
          <w:p>
            <w:r>
              <w:t>TZS 180M</w:t>
            </w:r>
          </w:p>
        </w:tc>
        <w:tc>
          <w:tcPr>
            <w:tcW w:type="dxa" w:w="2160"/>
          </w:tcPr>
          <w:p>
            <w:r>
              <w:t>TZS 720M</w:t>
            </w:r>
          </w:p>
        </w:tc>
      </w:tr>
      <w:tr>
        <w:tc>
          <w:tcPr>
            <w:tcW w:type="dxa" w:w="2160"/>
          </w:tcPr>
          <w:p>
            <w:r>
              <w:t>Annual revenue (USD)</w:t>
            </w:r>
          </w:p>
        </w:tc>
        <w:tc>
          <w:tcPr>
            <w:tcW w:type="dxa" w:w="2160"/>
          </w:tcPr>
          <w:p>
            <w:r>
              <w:t>$11,500</w:t>
            </w:r>
          </w:p>
        </w:tc>
        <w:tc>
          <w:tcPr>
            <w:tcW w:type="dxa" w:w="2160"/>
          </w:tcPr>
          <w:p>
            <w:r>
              <w:t>$69,000</w:t>
            </w:r>
          </w:p>
        </w:tc>
        <w:tc>
          <w:tcPr>
            <w:tcW w:type="dxa" w:w="2160"/>
          </w:tcPr>
          <w:p>
            <w:r>
              <w:t>$277,000</w:t>
            </w:r>
          </w:p>
        </w:tc>
      </w:tr>
    </w:tbl>
    <w:p/>
    <w:p>
      <w:pPr>
        <w:pStyle w:val="Heading1"/>
      </w:pPr>
      <w:r>
        <w:rPr>
          <w:color w:val="1D4E89"/>
        </w:rPr>
        <w:t>Cost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Cost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 (TZS)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 (TZS)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 (TZS)</w:t>
            </w:r>
          </w:p>
        </w:tc>
      </w:tr>
      <w:tr>
        <w:tc>
          <w:tcPr>
            <w:tcW w:type="dxa" w:w="2160"/>
          </w:tcPr>
          <w:p>
            <w:r>
              <w:t>Server &amp; infrastructure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  <w:tc>
          <w:tcPr>
            <w:tcW w:type="dxa" w:w="2160"/>
          </w:tcPr>
          <w:p>
            <w:r>
              <w:t>2,400,000</w:t>
            </w:r>
          </w:p>
        </w:tc>
        <w:tc>
          <w:tcPr>
            <w:tcW w:type="dxa" w:w="2160"/>
          </w:tcPr>
          <w:p>
            <w:r>
              <w:t>6,000,000</w:t>
            </w:r>
          </w:p>
        </w:tc>
      </w:tr>
      <w:tr>
        <w:tc>
          <w:tcPr>
            <w:tcW w:type="dxa" w:w="2160"/>
          </w:tcPr>
          <w:p>
            <w:r>
              <w:t>SMS &amp; OTP</w:t>
            </w:r>
          </w:p>
        </w:tc>
        <w:tc>
          <w:tcPr>
            <w:tcW w:type="dxa" w:w="2160"/>
          </w:tcPr>
          <w:p>
            <w:r>
              <w:t>240,000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>
            <w:r>
              <w:t>Salaries (field agents)</w:t>
            </w:r>
          </w:p>
        </w:tc>
        <w:tc>
          <w:tcPr>
            <w:tcW w:type="dxa" w:w="2160"/>
          </w:tcPr>
          <w:p>
            <w:r>
              <w:t>7,200,000</w:t>
            </w:r>
          </w:p>
        </w:tc>
        <w:tc>
          <w:tcPr>
            <w:tcW w:type="dxa" w:w="2160"/>
          </w:tcPr>
          <w:p>
            <w:r>
              <w:t>14,400,000</w:t>
            </w:r>
          </w:p>
        </w:tc>
        <w:tc>
          <w:tcPr>
            <w:tcW w:type="dxa" w:w="2160"/>
          </w:tcPr>
          <w:p>
            <w:r>
              <w:t>28,800,000</w:t>
            </w:r>
          </w:p>
        </w:tc>
      </w:tr>
      <w:tr>
        <w:tc>
          <w:tcPr>
            <w:tcW w:type="dxa" w:w="2160"/>
          </w:tcPr>
          <w:p>
            <w:r>
              <w:t>Salaries (support &amp; marketing)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14,400,000</w:t>
            </w:r>
          </w:p>
        </w:tc>
        <w:tc>
          <w:tcPr>
            <w:tcW w:type="dxa" w:w="2160"/>
          </w:tcPr>
          <w:p>
            <w:r>
              <w:t>36,000,000</w:t>
            </w:r>
          </w:p>
        </w:tc>
      </w:tr>
      <w:tr>
        <w:tc>
          <w:tcPr>
            <w:tcW w:type="dxa" w:w="2160"/>
          </w:tcPr>
          <w:p>
            <w:r>
              <w:t>Marketing &amp; advertising</w:t>
            </w:r>
          </w:p>
        </w:tc>
        <w:tc>
          <w:tcPr>
            <w:tcW w:type="dxa" w:w="2160"/>
          </w:tcPr>
          <w:p>
            <w:r>
              <w:t>3,000,000</w:t>
            </w:r>
          </w:p>
        </w:tc>
        <w:tc>
          <w:tcPr>
            <w:tcW w:type="dxa" w:w="2160"/>
          </w:tcPr>
          <w:p>
            <w:r>
              <w:t>12,000,000</w:t>
            </w:r>
          </w:p>
        </w:tc>
        <w:tc>
          <w:tcPr>
            <w:tcW w:type="dxa" w:w="2160"/>
          </w:tcPr>
          <w:p>
            <w:r>
              <w:t>36,000,000</w:t>
            </w:r>
          </w:p>
        </w:tc>
      </w:tr>
      <w:tr>
        <w:tc>
          <w:tcPr>
            <w:tcW w:type="dxa" w:w="2160"/>
          </w:tcPr>
          <w:p>
            <w:r>
              <w:t>Office &amp; admin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  <w:tc>
          <w:tcPr>
            <w:tcW w:type="dxa" w:w="2160"/>
          </w:tcPr>
          <w:p>
            <w:r>
              <w:t>2,400,000</w:t>
            </w:r>
          </w:p>
        </w:tc>
        <w:tc>
          <w:tcPr>
            <w:tcW w:type="dxa" w:w="2160"/>
          </w:tcPr>
          <w:p>
            <w:r>
              <w:t>6,000,000</w:t>
            </w:r>
          </w:p>
        </w:tc>
      </w:tr>
      <w:tr>
        <w:tc>
          <w:tcPr>
            <w:tcW w:type="dxa" w:w="2160"/>
          </w:tcPr>
          <w:p>
            <w:r>
              <w:t>Miscellaneous</w:t>
            </w:r>
          </w:p>
        </w:tc>
        <w:tc>
          <w:tcPr>
            <w:tcW w:type="dxa" w:w="2160"/>
          </w:tcPr>
          <w:p>
            <w:r>
              <w:t>2,760,000</w:t>
            </w:r>
          </w:p>
        </w:tc>
        <w:tc>
          <w:tcPr>
            <w:tcW w:type="dxa" w:w="2160"/>
          </w:tcPr>
          <w:p>
            <w:r>
              <w:t>1,800,000</w:t>
            </w:r>
          </w:p>
        </w:tc>
        <w:tc>
          <w:tcPr>
            <w:tcW w:type="dxa" w:w="2160"/>
          </w:tcPr>
          <w:p>
            <w:r>
              <w:t>6,000,000</w:t>
            </w:r>
          </w:p>
        </w:tc>
      </w:tr>
      <w:tr>
        <w:tc>
          <w:tcPr>
            <w:tcW w:type="dxa" w:w="2160"/>
          </w:tcPr>
          <w:p>
            <w:r>
              <w:t>TOTAL COSTS</w:t>
            </w:r>
          </w:p>
        </w:tc>
        <w:tc>
          <w:tcPr>
            <w:tcW w:type="dxa" w:w="2160"/>
          </w:tcPr>
          <w:p>
            <w:r>
              <w:t>15,000,000</w:t>
            </w:r>
          </w:p>
        </w:tc>
        <w:tc>
          <w:tcPr>
            <w:tcW w:type="dxa" w:w="2160"/>
          </w:tcPr>
          <w:p>
            <w:r>
              <w:t>48,000,000</w:t>
            </w:r>
          </w:p>
        </w:tc>
        <w:tc>
          <w:tcPr>
            <w:tcW w:type="dxa" w:w="2160"/>
          </w:tcPr>
          <w:p>
            <w:r>
              <w:t>120,000,000</w:t>
            </w:r>
          </w:p>
        </w:tc>
      </w:tr>
    </w:tbl>
    <w:p/>
    <w:p>
      <w:pPr>
        <w:pStyle w:val="Heading1"/>
      </w:pPr>
      <w:r>
        <w:rPr>
          <w:color w:val="1D4E89"/>
        </w:rPr>
        <w:t>Profitability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TZS 30M</w:t>
            </w:r>
          </w:p>
        </w:tc>
        <w:tc>
          <w:tcPr>
            <w:tcW w:type="dxa" w:w="2160"/>
          </w:tcPr>
          <w:p>
            <w:r>
              <w:t>TZS 180M</w:t>
            </w:r>
          </w:p>
        </w:tc>
        <w:tc>
          <w:tcPr>
            <w:tcW w:type="dxa" w:w="2160"/>
          </w:tcPr>
          <w:p>
            <w:r>
              <w:t>TZS 720M</w:t>
            </w:r>
          </w:p>
        </w:tc>
      </w:tr>
      <w:tr>
        <w:tc>
          <w:tcPr>
            <w:tcW w:type="dxa" w:w="2160"/>
          </w:tcPr>
          <w:p>
            <w:r>
              <w:t>Costs</w:t>
            </w:r>
          </w:p>
        </w:tc>
        <w:tc>
          <w:tcPr>
            <w:tcW w:type="dxa" w:w="2160"/>
          </w:tcPr>
          <w:p>
            <w:r>
              <w:t>TZS 15M</w:t>
            </w:r>
          </w:p>
        </w:tc>
        <w:tc>
          <w:tcPr>
            <w:tcW w:type="dxa" w:w="2160"/>
          </w:tcPr>
          <w:p>
            <w:r>
              <w:t>TZS 48M</w:t>
            </w:r>
          </w:p>
        </w:tc>
        <w:tc>
          <w:tcPr>
            <w:tcW w:type="dxa" w:w="2160"/>
          </w:tcPr>
          <w:p>
            <w:r>
              <w:t>TZS 120M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TZS 15M</w:t>
            </w:r>
          </w:p>
        </w:tc>
        <w:tc>
          <w:tcPr>
            <w:tcW w:type="dxa" w:w="2160"/>
          </w:tcPr>
          <w:p>
            <w:r>
              <w:t>TZS 132M</w:t>
            </w:r>
          </w:p>
        </w:tc>
        <w:tc>
          <w:tcPr>
            <w:tcW w:type="dxa" w:w="2160"/>
          </w:tcPr>
          <w:p>
            <w:r>
              <w:t>TZS 600M</w:t>
            </w:r>
          </w:p>
        </w:tc>
      </w:tr>
      <w:tr>
        <w:tc>
          <w:tcPr>
            <w:tcW w:type="dxa" w:w="2160"/>
          </w:tcPr>
          <w:p>
            <w:r>
              <w:t>Net Margin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73%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Break-even month</w:t>
            </w:r>
          </w:p>
        </w:tc>
        <w:tc>
          <w:tcPr>
            <w:tcW w:type="dxa" w:w="2160"/>
          </w:tcPr>
          <w:p>
            <w:r>
              <w:t>Month 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rPr>
          <w:color w:val="1D4E89"/>
        </w:rPr>
        <w:t>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Customer Acquisition Cost (CAC)</w:t>
            </w:r>
          </w:p>
        </w:tc>
        <w:tc>
          <w:tcPr>
            <w:tcW w:type="dxa" w:w="4320"/>
          </w:tcPr>
          <w:p>
            <w:r>
              <w:t>TZS 30,000 (~$12)</w:t>
            </w:r>
          </w:p>
        </w:tc>
      </w:tr>
      <w:tr>
        <w:tc>
          <w:tcPr>
            <w:tcW w:type="dxa" w:w="4320"/>
          </w:tcPr>
          <w:p>
            <w:r>
              <w:t>Lifetime Value (LTV)</w:t>
            </w:r>
          </w:p>
        </w:tc>
        <w:tc>
          <w:tcPr>
            <w:tcW w:type="dxa" w:w="4320"/>
          </w:tcPr>
          <w:p>
            <w:r>
              <w:t>TZS 1,200,000 (~$460)</w:t>
            </w:r>
          </w:p>
        </w:tc>
      </w:tr>
      <w:tr>
        <w:tc>
          <w:tcPr>
            <w:tcW w:type="dxa" w:w="4320"/>
          </w:tcPr>
          <w:p>
            <w:r>
              <w:t>LTV:CAC Ratio</w:t>
            </w:r>
          </w:p>
        </w:tc>
        <w:tc>
          <w:tcPr>
            <w:tcW w:type="dxa" w:w="4320"/>
          </w:tcPr>
          <w:p>
            <w:r>
              <w:t>40:1</w:t>
            </w:r>
          </w:p>
        </w:tc>
      </w:tr>
      <w:tr>
        <w:tc>
          <w:tcPr>
            <w:tcW w:type="dxa" w:w="4320"/>
          </w:tcPr>
          <w:p>
            <w:r>
              <w:t>Payback Period</w:t>
            </w:r>
          </w:p>
        </w:tc>
        <w:tc>
          <w:tcPr>
            <w:tcW w:type="dxa" w:w="4320"/>
          </w:tcPr>
          <w:p>
            <w:r>
              <w:t>&lt; 1 month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85%+</w:t>
            </w:r>
          </w:p>
        </w:tc>
      </w:tr>
      <w:tr>
        <w:tc>
          <w:tcPr>
            <w:tcW w:type="dxa" w:w="4320"/>
          </w:tcPr>
          <w:p>
            <w:r>
              <w:t>Monthly churn rate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