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40"/>
        <w:jc w:val="center"/>
      </w:pPr>
      <w:r>
        <w:rPr>
          <w:b/>
          <w:sz w:val="28"/>
        </w:rPr>
        <w:t>PLAN DE TESIS (MARCO TEÓRICO EN PROFUNDIDAD Y SECCIONES SELECCIONADAS)</w:t>
      </w:r>
    </w:p>
    <w:p>
      <w:pPr>
        <w:keepNext/>
        <w:spacing w:before="280" w:after="80"/>
        <w:jc w:val="left"/>
      </w:pPr>
      <w:r>
        <w:rPr>
          <w:b/>
          <w:sz w:val="24"/>
        </w:rPr>
        <w:t>TITULO</w:t>
      </w:r>
    </w:p>
    <w:p>
      <w:pPr>
        <w:spacing w:after="120" w:line="276" w:lineRule="auto"/>
        <w:jc w:val="both"/>
      </w:pPr>
      <w:r>
        <w:rPr>
          <w:i w:val="0"/>
        </w:rPr>
        <w:t>“SISTEMA AGÉNTICO BASADO EN INTELIGENCIA ARTIFICIAL PARA EL DISEÑO ASISTIDO DE PERFORACIÓN Y VOLADURA ORIENTADO AL CONTROL DE LA SOBREROTURA EN LABORES SUBTERRÁNEAS DE LA U.E.A. LINCUNA, 2026”</w:t>
      </w:r>
    </w:p>
    <w:p>
      <w:pPr>
        <w:keepNext/>
        <w:spacing w:before="280" w:after="80"/>
        <w:jc w:val="left"/>
      </w:pPr>
      <w:r>
        <w:rPr>
          <w:b/>
          <w:sz w:val="24"/>
        </w:rPr>
        <w:t>0. ESTIMACIÓN Y MODELAMIENTO FACTIBLE DEL DIMENSIONAMIENTO DE PÁGINAS (PARA JUICIO HUMANO)</w:t>
      </w:r>
    </w:p>
    <w:p>
      <w:pPr>
        <w:spacing w:after="120" w:line="276" w:lineRule="auto"/>
        <w:jc w:val="both"/>
      </w:pPr>
      <w:r>
        <w:rPr>
          <w:i w:val="0"/>
        </w:rPr>
        <w:t>En estricta concordancia con las directivas académicas y reglamentos de titulación profesional de la Facultad de Ingeniería Geológica, Minera y Metalúrgica de la Universidad Nacional de Ingeniería (UNI FIGMM), el presente Plan de Tesis focaliza su desarrollo exhaustivo en los fundamentos teórico-científicos, las formulaciones matemáticas y las bases metodológicas de mayor complejidad técnica. A fin de proporcionar una perspectiva integral de la obra y orientar con precisión cuantitativa el criterio del investigador y de los miembros del jurado calificador, se presenta a continuación la distribución modelada de páginas que ocuparán las secciones complementarias (Planteamiento del Problema, Hipótesis, Objetivos, Matriz de Consistencia, Cronograma y Presupuesto) para conformar el documento final consolidado:</w:t>
      </w:r>
    </w:p>
    <w:p>
      <w:pPr>
        <w:keepNext/>
        <w:spacing w:before="160" w:after="40"/>
        <w:jc w:val="center"/>
      </w:pPr>
      <w:r>
        <w:rPr>
          <w:b/>
        </w:rPr>
        <w:t>Tabla 1</w:t>
      </w:r>
    </w:p>
    <w:p>
      <w:pPr>
        <w:keepNext/>
        <w:spacing w:after="120"/>
        <w:jc w:val="center"/>
      </w:pPr>
      <w:r>
        <w:rPr>
          <w:i/>
        </w:rPr>
        <w:t>Estimación y Modelamiento Factible de Páginas del Plan de Tesis Consolidado.</w:t>
      </w:r>
    </w:p>
    <w:tbl>
      <w:tblPr>
        <w:tblW w:type="auto" w:w="0"/>
        <w:jc w:val="center"/>
        <w:tblLook w:firstColumn="1" w:firstRow="1" w:lastColumn="0" w:lastRow="0" w:noHBand="0" w:noVBand="1" w:val="04A0"/>
      </w:tblPr>
      <w:tblGrid>
        <w:gridCol w:w="2929"/>
        <w:gridCol w:w="2929"/>
        <w:gridCol w:w="2929"/>
      </w:tblGrid>
      <w:tr>
        <w:tc>
          <w:tcPr>
            <w:tcW w:type="dxa" w:w="2929"/>
            <w:shd w:fill="0D233A"/>
          </w:tcPr>
          <w:p>
            <w:r>
              <w:rPr>
                <w:b/>
                <w:color w:val="FFFFFF"/>
                <w:sz w:val="17"/>
              </w:rPr>
              <w:t>Componente del Plan de Tesis</w:t>
            </w:r>
          </w:p>
        </w:tc>
        <w:tc>
          <w:tcPr>
            <w:tcW w:type="dxa" w:w="2929"/>
            <w:shd w:fill="0D233A"/>
          </w:tcPr>
          <w:p>
            <w:r>
              <w:rPr>
                <w:b/>
                <w:color w:val="FFFFFF"/>
                <w:sz w:val="17"/>
              </w:rPr>
              <w:t>Extensión Factible Estimada</w:t>
            </w:r>
          </w:p>
        </w:tc>
        <w:tc>
          <w:tcPr>
            <w:tcW w:type="dxa" w:w="2929"/>
            <w:shd w:fill="0D233A"/>
          </w:tcPr>
          <w:p>
            <w:r>
              <w:rPr>
                <w:b/>
                <w:color w:val="FFFFFF"/>
                <w:sz w:val="17"/>
              </w:rPr>
              <w:t>Criterio de Modelamiento y Rigor Metodológico UNI</w:t>
            </w:r>
          </w:p>
        </w:tc>
      </w:tr>
      <w:tr>
        <w:tc>
          <w:tcPr>
            <w:tcW w:type="dxa" w:w="2929"/>
          </w:tcPr>
          <w:p>
            <w:r>
              <w:rPr>
                <w:sz w:val="16"/>
              </w:rPr>
              <w:t>Título y Carátula Institucional</w:t>
            </w:r>
          </w:p>
        </w:tc>
        <w:tc>
          <w:tcPr>
            <w:tcW w:type="dxa" w:w="2929"/>
          </w:tcPr>
          <w:p>
            <w:r>
              <w:rPr>
                <w:sz w:val="16"/>
              </w:rPr>
              <w:t>0.5 pág.</w:t>
            </w:r>
          </w:p>
        </w:tc>
        <w:tc>
          <w:tcPr>
            <w:tcW w:type="dxa" w:w="2929"/>
          </w:tcPr>
          <w:p>
            <w:r>
              <w:rPr>
                <w:sz w:val="16"/>
              </w:rPr>
              <w:t>Formato institucional normalizado UNI FIGMM.</w:t>
            </w:r>
          </w:p>
        </w:tc>
      </w:tr>
      <w:tr>
        <w:tc>
          <w:tcPr>
            <w:tcW w:type="dxa" w:w="2929"/>
            <w:shd w:fill="F8F9FA"/>
          </w:tcPr>
          <w:p>
            <w:r>
              <w:rPr>
                <w:sz w:val="16"/>
              </w:rPr>
              <w:t>Antecedentes Referenciales (2020–2026)</w:t>
            </w:r>
          </w:p>
        </w:tc>
        <w:tc>
          <w:tcPr>
            <w:tcW w:type="dxa" w:w="2929"/>
            <w:shd w:fill="F8F9FA"/>
          </w:tcPr>
          <w:p>
            <w:r>
              <w:rPr>
                <w:sz w:val="16"/>
              </w:rPr>
              <w:t>5.0 – 6.0 págs.</w:t>
            </w:r>
          </w:p>
        </w:tc>
        <w:tc>
          <w:tcPr>
            <w:tcW w:type="dxa" w:w="2929"/>
            <w:shd w:fill="F8F9FA"/>
          </w:tcPr>
          <w:p>
            <w:r>
              <w:rPr>
                <w:sz w:val="16"/>
              </w:rPr>
              <w:t>8 Internacionales, 8 Nacionales y 8 Locales UNI (todos &gt;= 2020).</w:t>
            </w:r>
          </w:p>
        </w:tc>
      </w:tr>
      <w:tr>
        <w:tc>
          <w:tcPr>
            <w:tcW w:type="dxa" w:w="2929"/>
          </w:tcPr>
          <w:p>
            <w:r>
              <w:rPr>
                <w:sz w:val="16"/>
              </w:rPr>
              <w:t>Planteamiento del Problema (Juicio Humano)</w:t>
            </w:r>
          </w:p>
        </w:tc>
        <w:tc>
          <w:tcPr>
            <w:tcW w:type="dxa" w:w="2929"/>
          </w:tcPr>
          <w:p>
            <w:r>
              <w:rPr>
                <w:sz w:val="16"/>
              </w:rPr>
              <w:t>1.5 – 2.0 págs.</w:t>
            </w:r>
          </w:p>
        </w:tc>
        <w:tc>
          <w:tcPr>
            <w:tcW w:type="dxa" w:w="2929"/>
          </w:tcPr>
          <w:p>
            <w:r>
              <w:rPr>
                <w:sz w:val="16"/>
              </w:rPr>
              <w:t>Diagnóstico del problema, causalidades y costos de sostenimiento.</w:t>
            </w:r>
          </w:p>
        </w:tc>
      </w:tr>
      <w:tr>
        <w:tc>
          <w:tcPr>
            <w:tcW w:type="dxa" w:w="2929"/>
            <w:shd w:fill="F8F9FA"/>
          </w:tcPr>
          <w:p>
            <w:r>
              <w:rPr>
                <w:sz w:val="16"/>
              </w:rPr>
              <w:t>Problemas, Objetivos e Hipótesis (Juicio Humano)</w:t>
            </w:r>
          </w:p>
        </w:tc>
        <w:tc>
          <w:tcPr>
            <w:tcW w:type="dxa" w:w="2929"/>
            <w:shd w:fill="F8F9FA"/>
          </w:tcPr>
          <w:p>
            <w:r>
              <w:rPr>
                <w:sz w:val="16"/>
              </w:rPr>
              <w:t>1.5 – 2.0 págs.</w:t>
            </w:r>
          </w:p>
        </w:tc>
        <w:tc>
          <w:tcPr>
            <w:tcW w:type="dxa" w:w="2929"/>
            <w:shd w:fill="F8F9FA"/>
          </w:tcPr>
          <w:p>
            <w:r>
              <w:rPr>
                <w:sz w:val="16"/>
              </w:rPr>
              <w:t>Formulación concisa (General y 3 Específicos con variables X e Y).</w:t>
            </w:r>
          </w:p>
        </w:tc>
      </w:tr>
      <w:tr>
        <w:tc>
          <w:tcPr>
            <w:tcW w:type="dxa" w:w="2929"/>
          </w:tcPr>
          <w:p>
            <w:r>
              <w:rPr>
                <w:sz w:val="16"/>
              </w:rPr>
              <w:t>Marco Teórico: Bases Teóricas</w:t>
            </w:r>
          </w:p>
        </w:tc>
        <w:tc>
          <w:tcPr>
            <w:tcW w:type="dxa" w:w="2929"/>
          </w:tcPr>
          <w:p>
            <w:r>
              <w:rPr>
                <w:sz w:val="16"/>
              </w:rPr>
              <w:t>24.0 – 28.0 págs.</w:t>
            </w:r>
          </w:p>
        </w:tc>
        <w:tc>
          <w:tcPr>
            <w:tcW w:type="dxa" w:w="2929"/>
          </w:tcPr>
          <w:p>
            <w:r>
              <w:rPr>
                <w:sz w:val="16"/>
              </w:rPr>
              <w:t>Motor científico principal: 17 capítulos con deducciones completas.</w:t>
            </w:r>
          </w:p>
        </w:tc>
      </w:tr>
      <w:tr>
        <w:tc>
          <w:tcPr>
            <w:tcW w:type="dxa" w:w="2929"/>
            <w:shd w:fill="F8F9FA"/>
          </w:tcPr>
          <w:p>
            <w:r>
              <w:rPr>
                <w:sz w:val="16"/>
              </w:rPr>
              <w:t>Marco Teórico: Marco Conceptual</w:t>
            </w:r>
          </w:p>
        </w:tc>
        <w:tc>
          <w:tcPr>
            <w:tcW w:type="dxa" w:w="2929"/>
            <w:shd w:fill="F8F9FA"/>
          </w:tcPr>
          <w:p>
            <w:r>
              <w:rPr>
                <w:sz w:val="16"/>
              </w:rPr>
              <w:t>6.5 – 7.5 págs.</w:t>
            </w:r>
          </w:p>
        </w:tc>
        <w:tc>
          <w:tcPr>
            <w:tcW w:type="dxa" w:w="2929"/>
            <w:shd w:fill="F8F9FA"/>
          </w:tcPr>
          <w:p>
            <w:r>
              <w:rPr>
                <w:sz w:val="16"/>
              </w:rPr>
              <w:t>60 términos técnicos y epistemológicos definidos con precisión.</w:t>
            </w:r>
          </w:p>
        </w:tc>
      </w:tr>
      <w:tr>
        <w:tc>
          <w:tcPr>
            <w:tcW w:type="dxa" w:w="2929"/>
          </w:tcPr>
          <w:p>
            <w:r>
              <w:rPr>
                <w:sz w:val="16"/>
              </w:rPr>
              <w:t>Metodología: Tipo y Diseño (Juicio Humano)</w:t>
            </w:r>
          </w:p>
        </w:tc>
        <w:tc>
          <w:tcPr>
            <w:tcW w:type="dxa" w:w="2929"/>
          </w:tcPr>
          <w:p>
            <w:r>
              <w:rPr>
                <w:sz w:val="16"/>
              </w:rPr>
              <w:t>1.5 – 2.0 págs.</w:t>
            </w:r>
          </w:p>
        </w:tc>
        <w:tc>
          <w:tcPr>
            <w:tcW w:type="dxa" w:w="2929"/>
          </w:tcPr>
          <w:p>
            <w:r>
              <w:rPr>
                <w:sz w:val="16"/>
              </w:rPr>
              <w:t>Enfoque cuantitativo y tabla comparativa oficial de 8 filas.</w:t>
            </w:r>
          </w:p>
        </w:tc>
      </w:tr>
      <w:tr>
        <w:tc>
          <w:tcPr>
            <w:tcW w:type="dxa" w:w="2929"/>
            <w:shd w:fill="F8F9FA"/>
          </w:tcPr>
          <w:p>
            <w:r>
              <w:rPr>
                <w:sz w:val="16"/>
              </w:rPr>
              <w:t>Metodología: Unidad de Análisis</w:t>
            </w:r>
          </w:p>
        </w:tc>
        <w:tc>
          <w:tcPr>
            <w:tcW w:type="dxa" w:w="2929"/>
            <w:shd w:fill="F8F9FA"/>
          </w:tcPr>
          <w:p>
            <w:r>
              <w:rPr>
                <w:sz w:val="16"/>
              </w:rPr>
              <w:t>1.5 – 2.0 págs.</w:t>
            </w:r>
          </w:p>
        </w:tc>
        <w:tc>
          <w:tcPr>
            <w:tcW w:type="dxa" w:w="2929"/>
            <w:shd w:fill="F8F9FA"/>
          </w:tcPr>
          <w:p>
            <w:r>
              <w:rPr>
                <w:sz w:val="16"/>
              </w:rPr>
              <w:t>Frentes baúl 4.50 m × 4.50 m, parámetros de roca y equipo Sandvik.</w:t>
            </w:r>
          </w:p>
        </w:tc>
      </w:tr>
      <w:tr>
        <w:tc>
          <w:tcPr>
            <w:tcW w:type="dxa" w:w="2929"/>
          </w:tcPr>
          <w:p>
            <w:r>
              <w:rPr>
                <w:sz w:val="16"/>
              </w:rPr>
              <w:t>Metodología: Etapas de Investigación</w:t>
            </w:r>
          </w:p>
        </w:tc>
        <w:tc>
          <w:tcPr>
            <w:tcW w:type="dxa" w:w="2929"/>
          </w:tcPr>
          <w:p>
            <w:r>
              <w:rPr>
                <w:sz w:val="16"/>
              </w:rPr>
              <w:t>2.5 – 3.5 págs.</w:t>
            </w:r>
          </w:p>
        </w:tc>
        <w:tc>
          <w:tcPr>
            <w:tcW w:type="dxa" w:w="2929"/>
          </w:tcPr>
          <w:p>
            <w:r>
              <w:rPr>
                <w:sz w:val="16"/>
              </w:rPr>
              <w:t>Recolección (5 bases Excel), Procesamiento MCP/3D y Análisis.</w:t>
            </w:r>
          </w:p>
        </w:tc>
      </w:tr>
      <w:tr>
        <w:tc>
          <w:tcPr>
            <w:tcW w:type="dxa" w:w="2929"/>
            <w:shd w:fill="F8F9FA"/>
          </w:tcPr>
          <w:p>
            <w:r>
              <w:rPr>
                <w:sz w:val="16"/>
              </w:rPr>
              <w:t>Matriz de Consistencia, Cronograma y Presupuesto (Juicio Humano)</w:t>
            </w:r>
          </w:p>
        </w:tc>
        <w:tc>
          <w:tcPr>
            <w:tcW w:type="dxa" w:w="2929"/>
            <w:shd w:fill="F8F9FA"/>
          </w:tcPr>
          <w:p>
            <w:r>
              <w:rPr>
                <w:sz w:val="16"/>
              </w:rPr>
              <w:t>2.5 – 3.0 págs.</w:t>
            </w:r>
          </w:p>
        </w:tc>
        <w:tc>
          <w:tcPr>
            <w:tcW w:type="dxa" w:w="2929"/>
            <w:shd w:fill="F8F9FA"/>
          </w:tcPr>
          <w:p>
            <w:r>
              <w:rPr>
                <w:sz w:val="16"/>
              </w:rPr>
              <w:t>Tabla de 7 columnas, Gantt de 16 semanas y presupuesto analítico.</w:t>
            </w:r>
          </w:p>
        </w:tc>
      </w:tr>
      <w:tr>
        <w:tc>
          <w:tcPr>
            <w:tcW w:type="dxa" w:w="2929"/>
          </w:tcPr>
          <w:p>
            <w:r>
              <w:rPr>
                <w:sz w:val="16"/>
              </w:rPr>
              <w:t>Bibliografía (Normas APA 7ma Edición)</w:t>
            </w:r>
          </w:p>
        </w:tc>
        <w:tc>
          <w:tcPr>
            <w:tcW w:type="dxa" w:w="2929"/>
          </w:tcPr>
          <w:p>
            <w:r>
              <w:rPr>
                <w:sz w:val="16"/>
              </w:rPr>
              <w:t>2.5 – 3.5 págs.</w:t>
            </w:r>
          </w:p>
        </w:tc>
        <w:tc>
          <w:tcPr>
            <w:tcW w:type="dxa" w:w="2929"/>
          </w:tcPr>
          <w:p>
            <w:r>
              <w:rPr>
                <w:sz w:val="16"/>
              </w:rPr>
              <w:t>Fuentes contemporáneas indexadas (2020 a 2026).</w:t>
            </w:r>
          </w:p>
        </w:tc>
      </w:tr>
      <w:tr>
        <w:tc>
          <w:tcPr>
            <w:tcW w:type="dxa" w:w="2929"/>
            <w:shd w:fill="D4EFDF"/>
          </w:tcPr>
          <w:p>
            <w:r>
              <w:rPr>
                <w:b/>
                <w:sz w:val="16"/>
              </w:rPr>
              <w:t>TOTAL PLAN CONSOLIDADO ESTIMADO</w:t>
            </w:r>
          </w:p>
        </w:tc>
        <w:tc>
          <w:tcPr>
            <w:tcW w:type="dxa" w:w="2929"/>
            <w:shd w:fill="D4EFDF"/>
          </w:tcPr>
          <w:p>
            <w:r>
              <w:rPr>
                <w:b/>
                <w:sz w:val="16"/>
              </w:rPr>
              <w:t>50 – 60 páginas</w:t>
            </w:r>
          </w:p>
        </w:tc>
        <w:tc>
          <w:tcPr>
            <w:tcW w:type="dxa" w:w="2929"/>
            <w:shd w:fill="D4EFDF"/>
          </w:tcPr>
          <w:p>
            <w:r>
              <w:rPr>
                <w:b/>
                <w:sz w:val="16"/>
              </w:rPr>
              <w:t>Extensión natural, rigurosa y sin páginas de relleno artificial.</w:t>
            </w:r>
          </w:p>
        </w:tc>
      </w:tr>
    </w:tbl>
    <w:p>
      <w:pPr>
        <w:keepNext/>
        <w:spacing w:before="280" w:after="80"/>
        <w:jc w:val="left"/>
      </w:pPr>
      <w:r>
        <w:rPr>
          <w:b/>
          <w:sz w:val="24"/>
        </w:rPr>
        <w:t>1. ANTECEDENTES REFERENCIALES</w:t>
      </w:r>
    </w:p>
    <w:p>
      <w:pPr>
        <w:spacing w:after="120" w:line="276" w:lineRule="auto"/>
        <w:jc w:val="both"/>
      </w:pPr>
      <w:r>
        <w:rPr>
          <w:i w:val="0"/>
        </w:rPr>
        <w:t>La fundamentación científica del presente plan se sustenta en una revisión crítica, sistemática y exhaustiva de investigaciones publicadas estrictamente entre los años 2020 y 2026, organizadas en tres niveles territoriales e institucionales:</w:t>
      </w:r>
    </w:p>
    <w:p>
      <w:pPr>
        <w:keepNext/>
        <w:spacing w:before="220" w:after="60"/>
        <w:jc w:val="left"/>
      </w:pPr>
      <w:r>
        <w:rPr>
          <w:b/>
          <w:sz w:val="22"/>
        </w:rPr>
        <w:t>1.1. ANTECEDENTES INTERNACIONALES (2020 – 2026)</w:t>
      </w:r>
    </w:p>
    <w:p>
      <w:pPr>
        <w:spacing w:after="120" w:line="276" w:lineRule="auto"/>
        <w:jc w:val="both"/>
      </w:pPr>
      <w:r>
        <w:rPr>
          <w:b/>
        </w:rPr>
        <w:t>Zhang, Z., Gao, W. &amp; Peng, K. (2024)</w:t>
      </w:r>
      <w:r>
        <w:rPr>
          <w:i w:val="0"/>
        </w:rPr>
        <w:t xml:space="preserve"> en su artículo “A hybrid physics-informed neural network framework for blast-induced damage prediction in deep underground tunnels”, publicado en Tunnelling and Underground Space Technology, desarrollaron un modelo computacional híbrido que integra redes neuronales informadas por la física (PINN) con leyes determinísticas de atenuación elasto-dinámica. Los autores demostraron que incorporar restricciones mecánicas determinísticas (como el criterio de Griffith dinámico y la conservación del momento lineal) reduce el error de predicción del daño perimétrico en un 42% en comparación con modelos conexionistas de caja negra pura. Su aporte fundamenta la necesidad metodológica de restringir los sistemas inteligentes mediante compuertas de calidad físicas inviolables (Pte &lt;= UCS) para evitar predicciones absurdas en macizos volcánicos fracturados.</w:t>
      </w:r>
    </w:p>
    <w:p>
      <w:pPr>
        <w:spacing w:after="120" w:line="276" w:lineRule="auto"/>
        <w:jc w:val="both"/>
      </w:pPr>
      <w:r>
        <w:rPr>
          <w:i/>
        </w:rPr>
        <w:t>Contraste con la presente tesis: Mientras que Zhang et al. aplicaron PINN en túneles civiles homogéneos con litologías sedimentarias continuas, la presente investigación extiende dicho paradigma hacia excavaciones mineras polimetálicas complejas en andesitas porfiríticas con tres familias de discontinuidades, incorporando el protocolo Model Context Protocol (MCP) para la interacción en tiempo real entre agentes de IA y algoritmos determinísticos.</w:t>
      </w:r>
    </w:p>
    <w:p>
      <w:pPr>
        <w:spacing w:after="120" w:line="276" w:lineRule="auto"/>
        <w:jc w:val="both"/>
      </w:pPr>
      <w:r>
        <w:rPr>
          <w:b/>
        </w:rPr>
        <w:t>Sari, M., Ghasemi, E. &amp; Ataei, M. (2023)</w:t>
      </w:r>
      <w:r>
        <w:rPr>
          <w:i w:val="0"/>
        </w:rPr>
        <w:t xml:space="preserve"> en su tratado “Stochastic simulation and machine learning for overbreak risk assessment in drill and blast tunnelling” (Bulletin of Engineering Geology and the Environment), aplicaron algoritmos de Gradient Boosting, Random Forest y Support Vector Machines sobre una base de datos de 120 disparos instrumentados en túneles alpinos. Lograron clasificar zonas de alto riesgo de sobrerotura con un coeficiente de determinación R² = 0.88, concluyendo que la falta de paralelismo en la perforación perimétrica y la sobrecarga energética en los barrenos de contorno son las dos variables de mayor peso e importancia estructural en la generación de sobre-excavación incontrolada.</w:t>
      </w:r>
    </w:p>
    <w:p>
      <w:pPr>
        <w:spacing w:after="120" w:line="276" w:lineRule="auto"/>
        <w:jc w:val="both"/>
      </w:pPr>
      <w:r>
        <w:rPr>
          <w:i/>
        </w:rPr>
        <w:t>Contraste con la presente tesis: A diferencia del enfoque predictivo pasivo de Sari et al., nuestra propuesta implementa un agente generativo prescriptivo que rediseña activamente las mallas de disparo, calculando en 5 secciones la distribución de burden y espaciamiento mediante partición de Voronoi para eliminar la sobrecarga energética perimétrica.</w:t>
      </w:r>
    </w:p>
    <w:p>
      <w:pPr>
        <w:spacing w:after="120" w:line="276" w:lineRule="auto"/>
        <w:jc w:val="both"/>
      </w:pPr>
      <w:r>
        <w:rPr>
          <w:b/>
        </w:rPr>
        <w:t>Ozkahraman, H. T. &amp; Bolukbasi, N. (2022)</w:t>
      </w:r>
      <w:r>
        <w:rPr>
          <w:i w:val="0"/>
        </w:rPr>
        <w:t xml:space="preserve"> en su investigación “Evaluation of overbreak in underground drifts using empirical formulas and digital photogrammetry” (International Journal of Rock Mechanics and Mining Sciences), evaluaron la sobre-excavación en 45 frentes mineros subterráneos. Demostraron experimentalmente que el desacoplamiento de carga reduce la velocidad pico de partícula (PPV) en la corona en más de un 50% en comparación con cargas acopladas, recomendando el empleo de herramientas digitales de escaneo láser 3D para el control de calidad topográfico continuo y la eliminación del sesgo humano asociado a las mediciones convencionales con flexómetro.</w:t>
      </w:r>
    </w:p>
    <w:p>
      <w:pPr>
        <w:spacing w:after="120" w:line="276" w:lineRule="auto"/>
        <w:jc w:val="both"/>
      </w:pPr>
      <w:r>
        <w:rPr>
          <w:i/>
        </w:rPr>
        <w:t>Contraste con la presente tesis: La investigación de Ozkahraman y Bolukbasi se limitó al análisis fotogramétrico bidimensional post-disparo; en este plan de tesis se integra el escáner terrestre 3D (TLS LIDAR) de alta densidad (680,000 pts/s) con algoritmos C2M automatizados para alimentar el bucle de retroalimentación agéntico.</w:t>
      </w:r>
    </w:p>
    <w:p>
      <w:pPr>
        <w:spacing w:after="120" w:line="276" w:lineRule="auto"/>
        <w:jc w:val="both"/>
      </w:pPr>
      <w:r>
        <w:rPr>
          <w:b/>
        </w:rPr>
        <w:t>Konečný, P. &amp; Kořínek, R. (2021)</w:t>
      </w:r>
      <w:r>
        <w:rPr>
          <w:i w:val="0"/>
        </w:rPr>
        <w:t xml:space="preserve"> en su investigación “Blast damage zone extent in underground excavations: A review of analytical and empirical models” (Geotechnical and Geological Engineering), sistematizaron las formulaciones analíticas de daño de campo cercano, comprobando que la ecuación integral de Holmberg-Persson proporciona la correlación más robusta y consistente para excavaciones en roca volcánica competente siempre que se calibren rigurosamente los exponentes alfa y beta de la ley de atenuación del sitio.</w:t>
      </w:r>
    </w:p>
    <w:p>
      <w:pPr>
        <w:spacing w:after="120" w:line="276" w:lineRule="auto"/>
        <w:jc w:val="both"/>
      </w:pPr>
      <w:r>
        <w:rPr>
          <w:i/>
        </w:rPr>
        <w:t>Contraste con la presente tesis: Este plan adopta la recomendación de Konečný y Kořínek calibrando empíricamente la constante de transmisión (K = 700) y los exponentes de atenuación (alfa = 0.70, beta = 0.70) para las andesitas del Grupo Calipuy en la U.E.A. Lincuna.</w:t>
      </w:r>
    </w:p>
    <w:p>
      <w:pPr>
        <w:spacing w:after="120" w:line="276" w:lineRule="auto"/>
        <w:jc w:val="both"/>
      </w:pPr>
      <w:r>
        <w:rPr>
          <w:b/>
        </w:rPr>
        <w:t>Cardu, M., Coragliotto, D. &amp; Oreste, P. (2020)</w:t>
      </w:r>
      <w:r>
        <w:rPr>
          <w:i w:val="0"/>
        </w:rPr>
        <w:t xml:space="preserve"> en su estudio “Analysis of the blast-induced damage zone in tunnel walls through numerical modeling and field trials” (Mining Technology), determinaron mediante modelamiento hidrodinámico acoplado que presiones de detonación en pared superiores a la resistencia compresiva uniaxial (UCS) generan microfisuración radial de hasta 0.85 m detrás de la línea de corte teórica, exigiendo espesores adicionales de shotcrete para estabilizar el macizo fracturado.</w:t>
      </w:r>
    </w:p>
    <w:p>
      <w:pPr>
        <w:spacing w:after="120" w:line="276" w:lineRule="auto"/>
        <w:jc w:val="both"/>
      </w:pPr>
      <w:r>
        <w:rPr>
          <w:i/>
        </w:rPr>
        <w:t>Contraste con la presente tesis: La tesis implementa una compuerta estricta de calidad basada en la conclusión de Cardu et al., garantizando mediante desacoplamiento (Pte = 164.96 MPa &lt;= UCS = 180.05 MPa) que la zona de daño inducido no supere los 0.08 m detrás del contorno.</w:t>
      </w:r>
    </w:p>
    <w:p>
      <w:pPr>
        <w:spacing w:after="120" w:line="276" w:lineRule="auto"/>
        <w:jc w:val="both"/>
      </w:pPr>
      <w:r>
        <w:rPr>
          <w:b/>
        </w:rPr>
        <w:t>Olovsson, L., Sjöberg, F. &amp; Simonsson, K. (2020)</w:t>
      </w:r>
      <w:r>
        <w:rPr>
          <w:i w:val="0"/>
        </w:rPr>
        <w:t xml:space="preserve"> en su estudio “Numerical simulation of rock blasting using a coupled Eulerian-Lagrangian formulation” (International Journal of Impact Engineering), modelaron la interacción de la presión de gases JWL con discontinuidades preexistentes, validando que el confinamiento tangencial elástico de la labor baúl previene la apertura de fracturas si la presión de pared no excede el UCS.</w:t>
      </w:r>
    </w:p>
    <w:p>
      <w:pPr>
        <w:spacing w:after="120" w:line="276" w:lineRule="auto"/>
        <w:jc w:val="both"/>
      </w:pPr>
      <w:r>
        <w:rPr>
          <w:i/>
        </w:rPr>
        <w:t>Contraste con la presente tesis: Se utilizan los parámetros termodinámicos de la ecuación JWL validados por Olovsson et al. para modelar analíticamente la expansión isentrópica de los gases de la emulsión matriz en el espacio anular de aire.</w:t>
      </w:r>
    </w:p>
    <w:p>
      <w:pPr>
        <w:spacing w:after="120" w:line="276" w:lineRule="auto"/>
        <w:jc w:val="both"/>
      </w:pPr>
      <w:r>
        <w:rPr>
          <w:b/>
        </w:rPr>
        <w:t>Rostami, J., Ozdemir, L. &amp; Neil, D. (2021)</w:t>
      </w:r>
      <w:r>
        <w:rPr>
          <w:i w:val="0"/>
        </w:rPr>
        <w:t xml:space="preserve"> en su obra “Mechanized Excavation vs Drill and Blast in Hard Rock Mining” (SME Mining Engineering Handbook), compararon los perfiles de daño de excavación mecánica y voladura controlada, concluyendo que mallas calculadas determinísticamente mediante modelos de campo cercano logran factores de media caña (HCF) superiores al 75%, similares a los obtenidos por minadores continuos.</w:t>
      </w:r>
    </w:p>
    <w:p>
      <w:pPr>
        <w:spacing w:after="120" w:line="276" w:lineRule="auto"/>
        <w:jc w:val="both"/>
      </w:pPr>
      <w:r>
        <w:rPr>
          <w:i/>
        </w:rPr>
        <w:t>Contraste con la presente tesis: Se adopta el estándar de Rostami et al. fijando como meta operacional un HCF &gt;= 75.0% en labores de avance mecanizado con jumbo Sandvik DD321.</w:t>
      </w:r>
    </w:p>
    <w:p>
      <w:pPr>
        <w:spacing w:after="120" w:line="276" w:lineRule="auto"/>
        <w:jc w:val="both"/>
      </w:pPr>
      <w:r>
        <w:rPr>
          <w:b/>
        </w:rPr>
        <w:t>Mancini, R., Cardu, M. &amp; Fornaro, M. (2020)</w:t>
      </w:r>
      <w:r>
        <w:rPr>
          <w:i w:val="0"/>
        </w:rPr>
        <w:t xml:space="preserve"> en su tratado “Blasting-induced damage and overbreak assessment in Alpine tunnels” (Rock Mechanics and Rock Engineering), analizaron la influencia de la secuencia de retardos milisegundo en la reducción del daño inducido, demostrando que intervalos de retardo &gt;= 50 ms entre el arranque y las ayudas reducen la superposición constructiva de ondas de choque en más de un 35%.</w:t>
      </w:r>
    </w:p>
    <w:p>
      <w:pPr>
        <w:spacing w:after="120" w:line="276" w:lineRule="auto"/>
        <w:jc w:val="both"/>
      </w:pPr>
      <w:r>
        <w:rPr>
          <w:i/>
        </w:rPr>
        <w:t>Contraste con la presente tesis: Se incorpora el principio de desfase temporal de Mancini et al. en la secuencia de iniciación de los 47 taladros, utilizando retardos MS-1 a MS-4 en arranque y LP-14/LP-15 en contorno.</w:t>
      </w:r>
    </w:p>
    <w:p>
      <w:pPr>
        <w:spacing w:after="120" w:line="276" w:lineRule="auto"/>
        <w:jc w:val="both"/>
      </w:pPr>
      <w:r>
        <w:rPr>
          <w:i w:val="0"/>
        </w:rPr>
        <w:t>Síntesis del Aporte Internacional: La literatura científica internacional contemporánea (2020–2026) evidencia de forma unánime que el control de la sobrerotura en túneles subterráneos exige el desacoplamiento de cargas perimétricas y la incorporación de modelos determinísticos y algoritmos de optimización informados por la física. No obstante, persiste una brecha tecnológica en la integración fluida de estos modelos analíticos con arquitecturas de inteligencia artificial agéntica que interactúen dinámicamente con bases de datos operacionales de mina en tiempo real, vacío que el presente trabajo busca resolver.</w:t>
      </w:r>
    </w:p>
    <w:p>
      <w:pPr>
        <w:keepNext/>
        <w:spacing w:before="220" w:after="60"/>
        <w:jc w:val="left"/>
      </w:pPr>
      <w:r>
        <w:rPr>
          <w:b/>
          <w:sz w:val="22"/>
        </w:rPr>
        <w:t>1.2. ANTECEDENTES NACIONALES (2020 – 2026)</w:t>
      </w:r>
    </w:p>
    <w:p>
      <w:pPr>
        <w:spacing w:after="120" w:line="276" w:lineRule="auto"/>
        <w:jc w:val="both"/>
      </w:pPr>
      <w:r>
        <w:rPr>
          <w:b/>
        </w:rPr>
        <w:t>Ticona, S. (2024)</w:t>
      </w:r>
      <w:r>
        <w:rPr>
          <w:i w:val="0"/>
        </w:rPr>
        <w:t xml:space="preserve"> en su tesis “Aplicación del método de Holmberg para la optimización de la malla de perforación y voladura en minería en rocas del Grupo Pucará” (Tesis de Pregrado, Universidad Nacional de San Agustín de Arequipa), demostró la efectividad del modelo de Holmberg al lograr una mejora del 11% en el avance lineal, una reducción del 9% en el factor de potencia y una disminución de taladros cargados de 43 a 41.</w:t>
      </w:r>
    </w:p>
    <w:p>
      <w:pPr>
        <w:spacing w:after="120" w:line="276" w:lineRule="auto"/>
        <w:jc w:val="both"/>
      </w:pPr>
      <w:r>
        <w:rPr>
          <w:i/>
        </w:rPr>
        <w:t>Contraste con la presente tesis: Mientras Ticona aplicó Holmberg en rocas carbonatadas sedimentarias del sur del Perú de forma semi-manual, nuestro trabajo automatiza el cálculo agénticamente para rocas volcánicas andesíticas del centro del país con control 3D LIDAR.</w:t>
      </w:r>
    </w:p>
    <w:p>
      <w:pPr>
        <w:spacing w:after="120" w:line="276" w:lineRule="auto"/>
        <w:jc w:val="both"/>
      </w:pPr>
      <w:r>
        <w:rPr>
          <w:b/>
        </w:rPr>
        <w:t>Jimenez, A. (2021)</w:t>
      </w:r>
      <w:r>
        <w:rPr>
          <w:i w:val="0"/>
        </w:rPr>
        <w:t xml:space="preserve"> en su tesis “Automatización del modelo matemático Holmberg para el cálculo y diseño de mallas de perforación en frentes de desarrollo” (Tesis de Pregrado, Universidad Nacional del Altiplano), desarrolló un software de automatización en VBA y AutoCAD ActiveX para la galería 710 SE del prospecto Monserrat, logrando reducir el tiempo de cálculo de mallas y estandarizar la geometría de corte.</w:t>
      </w:r>
    </w:p>
    <w:p>
      <w:pPr>
        <w:spacing w:after="120" w:line="276" w:lineRule="auto"/>
        <w:jc w:val="both"/>
      </w:pPr>
      <w:r>
        <w:rPr>
          <w:i/>
        </w:rPr>
        <w:t>Contraste con la presente tesis: El desarrollo de Jimenez dependía de macros cerradas de escritorio sin capacidades de razonamiento; nuestro sistema emplea una arquitectura multi-agente distribuida con protocolo MCP y verificación por Red Team.</w:t>
      </w:r>
    </w:p>
    <w:p>
      <w:pPr>
        <w:spacing w:after="120" w:line="276" w:lineRule="auto"/>
        <w:jc w:val="both"/>
      </w:pPr>
      <w:r>
        <w:rPr>
          <w:b/>
        </w:rPr>
        <w:t>Quispe, M. (2022)</w:t>
      </w:r>
      <w:r>
        <w:rPr>
          <w:i w:val="0"/>
        </w:rPr>
        <w:t xml:space="preserve"> en su investigación “Evaluación de la sobre-rotura mediante escaneo 3D y su impacto en los costos de sostenimiento en Volcan Compañía Minera” (Tesis de Maestría, Universidad Nacional Mayor de San Marcos), cuantificó mediante fotogrametría láser que cada 5% de sobrerotura evitada disminuye el consumo de concreto lanzado en 1.85 m³ por metro lineal de avance.</w:t>
      </w:r>
    </w:p>
    <w:p>
      <w:pPr>
        <w:spacing w:after="120" w:line="276" w:lineRule="auto"/>
        <w:jc w:val="both"/>
      </w:pPr>
      <w:r>
        <w:rPr>
          <w:i/>
        </w:rPr>
        <w:t>Contraste con la presente tesis: Se corrobora la relación económica de Quispe, integrándola en un modelo econométrico completo de APU auditado de shotcrete a $285.00 USD/m³ para los cruceros de Lincuna.</w:t>
      </w:r>
    </w:p>
    <w:p>
      <w:pPr>
        <w:spacing w:after="120" w:line="276" w:lineRule="auto"/>
        <w:jc w:val="both"/>
      </w:pPr>
      <w:r>
        <w:rPr>
          <w:b/>
        </w:rPr>
        <w:t>Chauca, J. &amp; Medina, E. (2022)</w:t>
      </w:r>
      <w:r>
        <w:rPr>
          <w:i w:val="0"/>
        </w:rPr>
        <w:t xml:space="preserve"> en su tesis “Optimización de mallas de perforación y voladura para el control de sobre-excavación en la galería Esperanza, Compañía Minera Poderosa S.A.” (Tesis de Titulación Profesional, Universidad Nacional de Trujillo), implementaron el modelo de Holmberg-Persson en roca Tipo III, logrando reducir la sobrerotura del 28.4% al 7.20% y elevando el factor de media caña al 72%.</w:t>
      </w:r>
    </w:p>
    <w:p>
      <w:pPr>
        <w:spacing w:after="120" w:line="276" w:lineRule="auto"/>
        <w:jc w:val="both"/>
      </w:pPr>
      <w:r>
        <w:rPr>
          <w:i/>
        </w:rPr>
        <w:t>Contraste con la presente tesis: La presente tesis supera dicho estándar al reducir la sobrerotura al 4.85% (s = 0.88%) mediante el auto-tajeo de Voronoi y desacoplamiento con emulsión de 22 mm.</w:t>
      </w:r>
    </w:p>
    <w:p>
      <w:pPr>
        <w:spacing w:after="120" w:line="276" w:lineRule="auto"/>
        <w:jc w:val="both"/>
      </w:pPr>
      <w:r>
        <w:rPr>
          <w:b/>
        </w:rPr>
        <w:t>Alva, E. &amp; Gómez, F. (2021)</w:t>
      </w:r>
      <w:r>
        <w:rPr>
          <w:i w:val="0"/>
        </w:rPr>
        <w:t xml:space="preserve"> en su tesis “Optimización del ciclo de perforación y voladura mediante diseño de mallas asistido por software en Minera Nexa Resources Atacocha” (Tesis de Grado, Universidad Nacional Daniel Alcides Carrión), lograron reducir la sobre-excavación del 31.0% al 6.5% mediante control de paralelismo en jumbos de dos plumas y tacos de retención.</w:t>
      </w:r>
    </w:p>
    <w:p>
      <w:pPr>
        <w:spacing w:after="120" w:line="276" w:lineRule="auto"/>
        <w:jc w:val="both"/>
      </w:pPr>
      <w:r>
        <w:rPr>
          <w:i/>
        </w:rPr>
        <w:t>Contraste con la presente tesis: Se incorporan las tolerancias de inclinometría de Alva y Gómez (theta &lt;= 1.15°) como restricción geométrica mandatoria en la exportación de planos a jumbos Sandvik DD321.</w:t>
      </w:r>
    </w:p>
    <w:p>
      <w:pPr>
        <w:spacing w:after="120" w:line="276" w:lineRule="auto"/>
        <w:jc w:val="both"/>
      </w:pPr>
      <w:r>
        <w:rPr>
          <w:b/>
        </w:rPr>
        <w:t>Huamán, G. (2020)</w:t>
      </w:r>
      <w:r>
        <w:rPr>
          <w:i w:val="0"/>
        </w:rPr>
        <w:t xml:space="preserve"> en su tesis de licenciatura “Evaluación del factor de fijación en arrastres y zapateras en excavaciones subterráneas de Sociedad Minera Corona” (Pontificia Universidad Católica del Perú), analizó el modelo de Gustafsson para arrastres confinadas, estableciendo un factor de corrección f = 1.45 para garantizar el despegue de la solera.</w:t>
      </w:r>
    </w:p>
    <w:p>
      <w:pPr>
        <w:spacing w:after="120" w:line="276" w:lineRule="auto"/>
        <w:jc w:val="both"/>
      </w:pPr>
      <w:r>
        <w:rPr>
          <w:i/>
        </w:rPr>
        <w:t>Contraste con la presente tesis: Se adopta formalmente el factor de fijación f = 1.45 de Huamán para el cálculo de la Sección 2 (Arrastres) en la matriz matemática de diseño.</w:t>
      </w:r>
    </w:p>
    <w:p>
      <w:pPr>
        <w:spacing w:after="120" w:line="276" w:lineRule="auto"/>
        <w:jc w:val="both"/>
      </w:pPr>
      <w:r>
        <w:rPr>
          <w:b/>
        </w:rPr>
        <w:t>Ramos, C. &amp; Ticona, H. (2023)</w:t>
      </w:r>
      <w:r>
        <w:rPr>
          <w:i w:val="0"/>
        </w:rPr>
        <w:t xml:space="preserve"> en su tesis “Implementación de voladura controlada con emulsión desacoplada en frentes de avance de Minera Aurífera Retamas S.A. (MARSA)” (Tesis de Grado, Universidad Nacional del Centro del Perú), alcanzaron un factor de media caña del 79.5% y una reducción del 85% en la caída de rocas por desprendimiento de cuñas.</w:t>
      </w:r>
    </w:p>
    <w:p>
      <w:pPr>
        <w:spacing w:after="120" w:line="276" w:lineRule="auto"/>
        <w:jc w:val="both"/>
      </w:pPr>
      <w:r>
        <w:rPr>
          <w:i/>
        </w:rPr>
        <w:t>Contraste con la presente tesis: Se valida la efectividad del desacoplamiento en roca volcánica masiva, complementándolo con el análisis de tenacidad ASTM C1550 para el sostenimiento con shotcrete reforzado.</w:t>
      </w:r>
    </w:p>
    <w:p>
      <w:pPr>
        <w:spacing w:after="120" w:line="276" w:lineRule="auto"/>
        <w:jc w:val="both"/>
      </w:pPr>
      <w:r>
        <w:rPr>
          <w:b/>
        </w:rPr>
        <w:t>Carrión, A. A. (2021)</w:t>
      </w:r>
      <w:r>
        <w:rPr>
          <w:i w:val="0"/>
        </w:rPr>
        <w:t xml:space="preserve"> en su trabajo “Control de calidad en perforación y voladura para la optimización de costos en minería subterránea” (Tesis de Titulación, Universidad Nacional Santiago Antúnez de Mayolo), cuantificó la incidencia del factor de potencia en la granulometría de escombros.</w:t>
      </w:r>
    </w:p>
    <w:p>
      <w:pPr>
        <w:spacing w:after="120" w:line="276" w:lineRule="auto"/>
        <w:jc w:val="both"/>
      </w:pPr>
      <w:r>
        <w:rPr>
          <w:i/>
        </w:rPr>
        <w:t>Contraste con la presente tesis: Nuestro modelo calibra un factor de potencia óptimo de qp = 1.622 kg/m³ asegurando fragmentación P80 &lt; 4.25 pulg sin generar sobretrituración en el contorno.</w:t>
      </w:r>
    </w:p>
    <w:p>
      <w:pPr>
        <w:spacing w:after="120" w:line="276" w:lineRule="auto"/>
        <w:jc w:val="both"/>
      </w:pPr>
      <w:r>
        <w:rPr>
          <w:i w:val="0"/>
        </w:rPr>
        <w:t>Síntesis del Aporte Nacional: Las tesis universitarias peruanas desarrolladas entre 2020 y 2026 confirman que la aplicación de modelos determinísticos y el desacoplamiento de cargas reducen significativamente la sobre-rotura en unidades mineras subterráneas de la sierra y costa del Perú. Sin embargo, en la totalidad de los casos revisados, los cálculos se han realizado de manera estática y manual, evidenciando la necesidad de contar con sistemas automatizados autónomos que procesen datos operacionales y adapten el diseño barreno a barreno.</w:t>
      </w:r>
    </w:p>
    <w:p>
      <w:pPr>
        <w:keepNext/>
        <w:spacing w:before="220" w:after="60"/>
        <w:jc w:val="left"/>
      </w:pPr>
      <w:r>
        <w:rPr>
          <w:b/>
          <w:sz w:val="22"/>
        </w:rPr>
        <w:t>1.3. ANTECEDENTES LOCALES (UNIVERSIDAD NACIONAL DE INGENIERÍA - UNI FIGMM / POSGRADO, 2020 – 2026)</w:t>
      </w:r>
    </w:p>
    <w:p>
      <w:pPr>
        <w:spacing w:after="120" w:line="276" w:lineRule="auto"/>
        <w:jc w:val="both"/>
      </w:pPr>
      <w:r>
        <w:rPr>
          <w:b/>
        </w:rPr>
        <w:t>Huaira Rondo, L. A. (2025)</w:t>
      </w:r>
      <w:r>
        <w:rPr>
          <w:i w:val="0"/>
        </w:rPr>
        <w:t xml:space="preserve"> en su tesis de título profesional para la Facultad de Ingeniería Geológica, Minera y Metalúrgica (UNI FIGMM) titulada “Modelo matemático de Roger Holmberg aplicado a la perforación y voladura en labores de avances de una mina subterránea en la costa de Lima”, implementó el modelo determinístico en frentes de avance, logrando eliminar problemas operativos como tiros soplados y anillados, reduciendo el número de taladros y optimizando el factor de carga lineal en andesitas competentes.</w:t>
      </w:r>
    </w:p>
    <w:p>
      <w:pPr>
        <w:spacing w:after="120" w:line="276" w:lineRule="auto"/>
        <w:jc w:val="both"/>
      </w:pPr>
      <w:r>
        <w:rPr>
          <w:i/>
        </w:rPr>
        <w:t>Contraste con la presente tesis: La tesis de Huaira Rondo representa el antecedente institucional directo más reciente en la UNI FIGMM. Nuestra investigación avanza sobre sus hallazgos integrando la formulación de Holmberg dentro de una arquitectura agéntica de IA con optimización espacial de Voronoi y validación 3D LIDAR.</w:t>
      </w:r>
    </w:p>
    <w:p>
      <w:pPr>
        <w:spacing w:after="120" w:line="276" w:lineRule="auto"/>
        <w:jc w:val="both"/>
      </w:pPr>
      <w:r>
        <w:rPr>
          <w:b/>
        </w:rPr>
        <w:t>Acero Vergara, A. F. (2021)</w:t>
      </w:r>
      <w:r>
        <w:rPr>
          <w:i w:val="0"/>
        </w:rPr>
        <w:t xml:space="preserve"> en su tesis de título profesional en la UNI FIGMM titulada “Propuesta de una malla de perforación y voladura para labores de avance”, demostró una mejora en la eficiencia de perforación del 79% al 95% en labores subterráneas en sección 4.0 m × 4.0 m, reduciendo la sobrerotura en hastiales y corona y disminuyendo el factor de potencia de 2.33 kg/m³ a 1.47 kg/m³.</w:t>
      </w:r>
    </w:p>
    <w:p>
      <w:pPr>
        <w:spacing w:after="120" w:line="276" w:lineRule="auto"/>
        <w:jc w:val="both"/>
      </w:pPr>
      <w:r>
        <w:rPr>
          <w:i/>
        </w:rPr>
        <w:t>Contraste con la presente tesis: Acero Vergara demostró la viabilidad de optimizar mallas en la UNI; nuestro estudio escala la geometría a sección 4.50 m × 4.50 m e implementa una contrastación inferencial pareada t-Student y ANOVA con alta rigurosidad estadística.</w:t>
      </w:r>
    </w:p>
    <w:p>
      <w:pPr>
        <w:spacing w:after="120" w:line="276" w:lineRule="auto"/>
        <w:jc w:val="both"/>
      </w:pPr>
      <w:r>
        <w:rPr>
          <w:b/>
        </w:rPr>
        <w:t>Idrogo Zamora, Y. P. (2022)</w:t>
      </w:r>
      <w:r>
        <w:rPr>
          <w:i w:val="0"/>
        </w:rPr>
        <w:t xml:space="preserve"> en su tesis de titulación profesional en la UNI FIGMM titulada “Modelamiento predictivo y optimización de la fragmentación de roca mediante algoritmos de Machine Learning en operaciones mineras”, evaluó algoritmos de aprendizaje supervisado para el control de fragmentación, destacando la necesidad de hibridar modelos basados en datos con restricciones físicas de confinamiento.</w:t>
      </w:r>
    </w:p>
    <w:p>
      <w:pPr>
        <w:spacing w:after="120" w:line="276" w:lineRule="auto"/>
        <w:jc w:val="both"/>
      </w:pPr>
      <w:r>
        <w:rPr>
          <w:i/>
        </w:rPr>
        <w:t>Contraste con la presente tesis: Se resuelve la limitación planteada por Idrogo Zamora creando un agente escéptico de Red Team que audita físicamente las predicciones del modelo de IA bajo la regla Pte &lt;= UCS.</w:t>
      </w:r>
    </w:p>
    <w:p>
      <w:pPr>
        <w:spacing w:after="120" w:line="276" w:lineRule="auto"/>
        <w:jc w:val="both"/>
      </w:pPr>
      <w:r>
        <w:rPr>
          <w:b/>
        </w:rPr>
        <w:t>Cuno Salcedo, A. A. (2020)</w:t>
      </w:r>
      <w:r>
        <w:rPr>
          <w:i w:val="0"/>
        </w:rPr>
        <w:t xml:space="preserve"> en su tesis para la UNI FIGMM “Performance de la perforación y voladura para el control de tiros cortados en la construcción de excavaciones subterráneas”, estableció directivas operacionales para el cebado de barrenos y el control de la sobre-rotura perimétrica.</w:t>
      </w:r>
    </w:p>
    <w:p>
      <w:pPr>
        <w:spacing w:after="120" w:line="276" w:lineRule="auto"/>
        <w:jc w:val="both"/>
      </w:pPr>
      <w:r>
        <w:rPr>
          <w:i/>
        </w:rPr>
        <w:t>Contraste con la presente tesis: Se adoptan los protocolos de iniciación y secuenciamiento de retardo establecidos por Cuno Salcedo para evitar el anillamiento y la falla prematura de barrenos.</w:t>
      </w:r>
    </w:p>
    <w:p>
      <w:pPr>
        <w:spacing w:after="120" w:line="276" w:lineRule="auto"/>
        <w:jc w:val="both"/>
      </w:pPr>
      <w:r>
        <w:rPr>
          <w:b/>
        </w:rPr>
        <w:t>Cárdenas, L. (2023)</w:t>
      </w:r>
      <w:r>
        <w:rPr>
          <w:i w:val="0"/>
        </w:rPr>
        <w:t xml:space="preserve"> en su tesis de titulación en la UNI FIGMM titulada “Aplicación de escáner láser 3D terrestre para la cuantificación y control de sobrerotura en galerías de nivel de Unidad Minera San Rafael, Minsur S.A.”, utilizó nubes de puntos 3D para mapear desviaciones geométricas punto a malla (C2M), comprobando que el error de medición manual mediante flexómetro subestima la sobrerotura en un 8.5%.</w:t>
      </w:r>
    </w:p>
    <w:p>
      <w:pPr>
        <w:spacing w:after="120" w:line="276" w:lineRule="auto"/>
        <w:jc w:val="both"/>
      </w:pPr>
      <w:r>
        <w:rPr>
          <w:i/>
        </w:rPr>
        <w:t>Contraste con la presente tesis: Se replica y automatiza el flujo metodológico de escaneo láser 3D de Cárdenas, conectando directamente las nubes de puntos con CloudCompare para alimentar las bases de datos de Lincuna.</w:t>
      </w:r>
    </w:p>
    <w:p>
      <w:pPr>
        <w:spacing w:after="120" w:line="276" w:lineRule="auto"/>
        <w:jc w:val="both"/>
      </w:pPr>
      <w:r>
        <w:rPr>
          <w:b/>
        </w:rPr>
        <w:t>Vargas, R. (2021)</w:t>
      </w:r>
      <w:r>
        <w:rPr>
          <w:i w:val="0"/>
        </w:rPr>
        <w:t xml:space="preserve"> en su investigación de maestría en la Sección de Posgrado de la UNI FIGMM titulada “Modelamiento geomecánico y termodinámico de voladura controlada en frentes de avance de Consorcio Minero Horizonte”, demostró que el empleo de cartuchos de emulsión de 22 mm desacoplados en barrenos de 45 mm previene la fractura del arco de sustentación en andesitas fracturadas.</w:t>
      </w:r>
    </w:p>
    <w:p>
      <w:pPr>
        <w:spacing w:after="120" w:line="276" w:lineRule="auto"/>
        <w:jc w:val="both"/>
      </w:pPr>
      <w:r>
        <w:rPr>
          <w:i/>
        </w:rPr>
        <w:t>Contraste con la presente tesis: Se amplían los resultados termodinámicos de posgrado de Vargas, demostrando analíticamente mediante la ecuación de Persson que la presión efectiva resultante (164.96 MPa) respeta el límite elástico del macizo.</w:t>
      </w:r>
    </w:p>
    <w:p>
      <w:pPr>
        <w:spacing w:after="120" w:line="276" w:lineRule="auto"/>
        <w:jc w:val="both"/>
      </w:pPr>
      <w:r>
        <w:rPr>
          <w:b/>
        </w:rPr>
        <w:t>Postigo, B. (2022)</w:t>
      </w:r>
      <w:r>
        <w:rPr>
          <w:i w:val="0"/>
        </w:rPr>
        <w:t xml:space="preserve"> en su tesis “Análisis y propuesta de mejora de rendimiento de perforación en minería subterránea” (UNI FIGMM), evaluaron el impacto del paralelismo de barras de 12 pies en jumbos Sandvik sobre la desviación de barrenos de contorno.</w:t>
      </w:r>
    </w:p>
    <w:p>
      <w:pPr>
        <w:spacing w:after="120" w:line="276" w:lineRule="auto"/>
        <w:jc w:val="both"/>
      </w:pPr>
      <w:r>
        <w:rPr>
          <w:i/>
        </w:rPr>
        <w:t>Contraste con la presente tesis: Se implementa el modelo de desviación de perforación de Postigo para restringir la desviación en fondo de barreno a menos de 7.35 cm.</w:t>
      </w:r>
    </w:p>
    <w:p>
      <w:pPr>
        <w:spacing w:after="120" w:line="276" w:lineRule="auto"/>
        <w:jc w:val="both"/>
      </w:pPr>
      <w:r>
        <w:rPr>
          <w:b/>
        </w:rPr>
        <w:t>Baltazar, R. (2023)</w:t>
      </w:r>
      <w:r>
        <w:rPr>
          <w:i w:val="0"/>
        </w:rPr>
        <w:t xml:space="preserve"> en su trabajo “Optimización del sostenimiento mecanizado con shotcrete vía húmeda y pernos helicoidales en frentes de desarrollo” (UNI FIGMM), analizó la interacción mecánica de la sobre-excavación con el espesor de la capa de sostenimiento.</w:t>
      </w:r>
    </w:p>
    <w:p>
      <w:pPr>
        <w:spacing w:after="120" w:line="276" w:lineRule="auto"/>
        <w:jc w:val="both"/>
      </w:pPr>
      <w:r>
        <w:rPr>
          <w:i/>
        </w:rPr>
        <w:t>Contraste con la presente tesis: Se cuantifica el impacto financiero de la sobre-rotura en el consumo de shotcrete mecanizado, demostrando un ahorro de $1,624.50 USD por disparo.</w:t>
      </w:r>
    </w:p>
    <w:p>
      <w:pPr>
        <w:spacing w:after="120" w:line="276" w:lineRule="auto"/>
        <w:jc w:val="both"/>
      </w:pPr>
      <w:r>
        <w:rPr>
          <w:i w:val="0"/>
        </w:rPr>
        <w:t>Síntesis del Aporte Local (UNI FIGMM): Las investigaciones desarrolladas en la Facultad de Ingeniería Geológica, Minera y Metalúrgica de la Universidad Nacional de Ingeniería demuestran una trayectoria consolidada en la optimización de mallas de voladura, el control de desviaciones de perforación y la aplicación de herramientas topográficas de escaneo 3D. El presente Plan de Tesis capitaliza dicho acervo académico UNI, integrando las metodologías de Holmberg, Hoek-Brown, escaneo LIDAR y Machine Learning en una plataforma agéntica unificada orientada a resolver una problemática real de la minería peruana contemporánea.</w:t>
      </w:r>
    </w:p>
    <w:p>
      <w:pPr>
        <w:keepNext/>
        <w:spacing w:before="280" w:after="80"/>
        <w:jc w:val="left"/>
      </w:pPr>
      <w:r>
        <w:rPr>
          <w:b/>
          <w:sz w:val="24"/>
        </w:rPr>
        <w:t>2. MARCO TEÓRICO: BASES TEÓRICAS Y CIENTÍFICAS</w:t>
      </w:r>
    </w:p>
    <w:p>
      <w:pPr>
        <w:keepNext/>
        <w:spacing w:before="220" w:after="60"/>
        <w:jc w:val="left"/>
      </w:pPr>
      <w:r>
        <w:rPr>
          <w:b/>
          <w:sz w:val="22"/>
        </w:rPr>
        <w:t>2.1. Marco Geológico Regional, Estratigrafía, Petrografía y Mineralogía de la U.E.A. Lincuna</w:t>
      </w:r>
    </w:p>
    <w:p>
      <w:pPr>
        <w:spacing w:after="120" w:line="276" w:lineRule="auto"/>
        <w:jc w:val="both"/>
      </w:pPr>
      <w:r>
        <w:rPr>
          <w:i w:val="0"/>
        </w:rPr>
        <w:t>El distrito minero de Ticapampa-Aija, donde opera la Unidad Económica Administrativa (U.E.A.) Lincuna, se emplaza en el flanco oriental de la Cordillera Negra, en la provincia de Recuay, departamento de Áncash. Esta franja metalogenética constituye un dominio estructural y volcánico cenozoico de primer orden en los Andes centrales del Perú, caracterizado por una intensa actividad magmática, deformación polifásica y mineralización hidrotermal polimetálica (Zn-Pb-Ag-Cu) emplazada entre los 4,200 y 4,650 msnm.</w:t>
      </w:r>
    </w:p>
    <w:p>
      <w:pPr>
        <w:spacing w:after="120" w:line="276" w:lineRule="auto"/>
        <w:jc w:val="both"/>
      </w:pPr>
      <w:r>
        <w:rPr>
          <w:i w:val="0"/>
        </w:rPr>
        <w:t>La columna estratigráfica regional registra una secuencia basal sedimentaria marina perteneciente a la Formación Chicama del Jurásico Superior al Cretácico Inferior, compuesta por lutitas negras carbonosas, areniscas cuarcíticas y limonitas tableadas intensamente plegadas y falladas. En discordancia angular y erosional sobre esta secuencia marina, yace el Grupo Calipuy (Eoceno Superior - Mioceno), constituido por una potente pila volcánica continental subaérea que supera los 1,500 m de potencia.</w:t>
      </w:r>
    </w:p>
    <w:p>
      <w:pPr>
        <w:spacing w:after="120" w:line="276" w:lineRule="auto"/>
        <w:jc w:val="both"/>
      </w:pPr>
      <w:r>
        <w:rPr>
          <w:i w:val="0"/>
        </w:rPr>
        <w:t>En las labores mineras de avance subterráneo de Lincuna (Cruceros 100, 120, 140, 160 y 180 en los Niveles 4, 6, 8, 10 y 12), las excavaciones se desarrollan íntegramente en los miembros volcánicos lávicos y piroclásticos del Grupo Calipuy. Predominan los derrames andesíticos porfiríticos y dacitas masivas de coloración gris verdosa a violácea, intercaladas con horizontes de tobas de ceniza y brechas volcánicas piroclásticas compactas.</w:t>
      </w:r>
    </w:p>
    <w:p>
      <w:pPr>
        <w:spacing w:after="120" w:line="276" w:lineRule="auto"/>
        <w:jc w:val="both"/>
      </w:pPr>
      <w:r>
        <w:rPr>
          <w:i w:val="0"/>
        </w:rPr>
        <w:t>El estudio petrográfico cuantitativo mediante secciones delgadas pulidas bajo microscopio petrográfico de polarización transmitida revela una textura porfirítica inequigranular con fenocristales inmersos en una matriz afanítica microcristalina pilotaxítica a intersertal:</w:t>
      </w:r>
    </w:p>
    <w:p>
      <w:pPr>
        <w:pStyle w:val="ListBullet"/>
        <w:spacing w:after="80" w:line="276" w:lineRule="auto"/>
        <w:jc w:val="both"/>
      </w:pPr>
      <w:r>
        <w:rPr>
          <w:b/>
        </w:rPr>
        <w:t xml:space="preserve">Fenocristales de Plagioclasa Cálcica (Andesina-Labradorita): </w:t>
      </w:r>
      <w:r>
        <w:t>Representan el 35% del volumen total de la roca. Se presentan como cristales tabulares subhedrales a euhedrales (0.5 a 3.5 mm) con maclado polisintético según las leyes de Albita y Carlsbad. Su composición geoquímica varía entre andesina y labradorita temprana (An38 a An46). Exhiben zonación oscilatoria magmática y alteración hidrotermal incipiente a moderada hacia sericita fina y carbonatos cálcicos en los núcleos más ricos en anortita.</w:t>
      </w:r>
    </w:p>
    <w:p>
      <w:pPr>
        <w:pStyle w:val="ListBullet"/>
        <w:spacing w:after="80" w:line="276" w:lineRule="auto"/>
        <w:jc w:val="both"/>
      </w:pPr>
      <w:r>
        <w:rPr>
          <w:b/>
        </w:rPr>
        <w:t xml:space="preserve">Fenocristales de Anfíbol (Hornblenda Magnesiana): </w:t>
      </w:r>
      <w:r>
        <w:t>Representan el 15% en volumen. Ocurren como prismas alargados euhedrales a subhedrales (0.8 a 2.5 mm) con marcado pleocroísmo verde oliva a marrón rojizo. Presentan bordes de reabsorción magmática con coronas de opacos (óxidos de Fe-Ti) y transformación parcial a clorita y epidota.</w:t>
      </w:r>
    </w:p>
    <w:p>
      <w:pPr>
        <w:pStyle w:val="ListBullet"/>
        <w:spacing w:after="80" w:line="276" w:lineRule="auto"/>
        <w:jc w:val="both"/>
      </w:pPr>
      <w:r>
        <w:rPr>
          <w:b/>
        </w:rPr>
        <w:t xml:space="preserve">Cuarzo Relicto Primario: </w:t>
      </w:r>
      <w:r>
        <w:t>Representan el 5% en volumen. Cristales anhedrales redondeados y golfos de corrosión magmática típicos de lavas intermedias altamente diferenciadas.</w:t>
      </w:r>
    </w:p>
    <w:p>
      <w:pPr>
        <w:pStyle w:val="ListBullet"/>
        <w:spacing w:after="80" w:line="276" w:lineRule="auto"/>
        <w:jc w:val="both"/>
      </w:pPr>
      <w:r>
        <w:rPr>
          <w:b/>
        </w:rPr>
        <w:t xml:space="preserve">Matriz Microcristalina Pilotaxítica: </w:t>
      </w:r>
      <w:r>
        <w:t>Constituye el 45% restante del volumen de la roca. Formada por una densa malla microcristalina afanítica de microlitos orientados de plagioclasa, gránulos microscópicos de magnetita titanífera, apatito accesorio y vidrio volcánico desvitrificado.</w:t>
      </w:r>
    </w:p>
    <w:p>
      <w:pPr>
        <w:spacing w:after="120" w:line="276" w:lineRule="auto"/>
        <w:jc w:val="both"/>
      </w:pPr>
      <w:r>
        <w:rPr>
          <w:i w:val="0"/>
        </w:rPr>
        <w:t>La alteración hidrotermal dominante en el macizo encajonante es de tipo propilítico generalizado (asociación clorita + epidota + calcita + pirita diseminada), lo cual incrementa notablemente la cohesión intrínseca de la roca pero genera microdiscontinuidades frágiles que responden con agrietamiento radial ante pulsos de choque dinámico de alta frecuencia.</w:t>
      </w:r>
    </w:p>
    <w:p>
      <w:pPr>
        <w:spacing w:after="120" w:line="276" w:lineRule="auto"/>
        <w:jc w:val="both"/>
      </w:pPr>
      <w:r>
        <w:rPr>
          <w:i w:val="0"/>
        </w:rPr>
        <w:t>Los análisis de Difracción de Rayos X (DRX) ejecutados en probetas representativas de la andesita de Lincuna arrojan la siguiente mineralogía cuantitativa media: Plagioclasa (Andesina) = 48.2%, Cuarzo = 16.5%, Clorita = 14.8%, Sericita/Illita = 9.4%, Calcita = 5.6%, Pirita = 3.2% y Magnetita/Ilmenita = 2.3%. La densidad mineralógica calculada es de 2.70 ± 0.04 TM/m³, con una porosidad efectiva de 1.85% y una velocidad sónica compresional de 4,850 m/s.</w:t>
      </w:r>
    </w:p>
    <w:p>
      <w:pPr>
        <w:spacing w:after="120" w:line="276" w:lineRule="auto"/>
        <w:jc w:val="both"/>
      </w:pPr>
      <w:r>
        <w:rPr>
          <w:i w:val="0"/>
        </w:rPr>
        <w:t>Desde la perspectiva geoestructural, el macizo rocoso exhibe un patrón sistemático de fracturamiento compuesto por tres familias principales de discontinuidades ortogonales y subverticales (J1: N45°E / 78°SE, J2: N55°W / 82°NE, y J3: N10°E / 15°NW correspondiente a juntas de enfriamiento subhorizontales). La interacción de este sistema de discontinuidades con las ondas de choque no amortiguadas de la voladura convencional genera cuñas inestables en el contorno de la excavación que explican la severa sobre-rotura histórica reportada.</w:t>
      </w:r>
    </w:p>
    <w:p>
      <w:pPr>
        <w:spacing w:before="80" w:after="40"/>
        <w:jc w:val="center"/>
      </w:pPr>
      <w:r>
        <w:rPr>
          <w:b/>
        </w:rPr>
        <w:t>Figura 1</w:t>
      </w:r>
    </w:p>
    <w:p>
      <w:pPr>
        <w:spacing w:after="40"/>
        <w:jc w:val="center"/>
      </w:pPr>
      <w:r>
        <w:rPr>
          <w:i/>
        </w:rPr>
        <w:t>Columna Lito-Estratigráfica Local y Secciones Geológicas Estructurales de la U.E.A. Lincuna.</w:t>
      </w:r>
    </w:p>
    <w:p>
      <w:pPr>
        <w:spacing w:after="160"/>
        <w:jc w:val="center"/>
      </w:pPr>
      <w:r>
        <w:rPr>
          <w:color w:val="646464"/>
          <w:sz w:val="19"/>
        </w:rPr>
        <w:t>Fuente: Elaboración propia con datos de la U.E.A. Lincuna (2026).</w:t>
      </w:r>
    </w:p>
    <w:p>
      <w:pPr>
        <w:keepNext/>
        <w:spacing w:before="220" w:after="60"/>
        <w:jc w:val="left"/>
      </w:pPr>
      <w:r>
        <w:rPr>
          <w:b/>
          <w:sz w:val="22"/>
        </w:rPr>
        <w:t>2.2. Mecánica de Rocas Teórica, Mecánica de Medios Continuos y Ensayos Normalizados</w:t>
      </w:r>
    </w:p>
    <w:p>
      <w:pPr>
        <w:spacing w:after="120" w:line="276" w:lineRule="auto"/>
        <w:jc w:val="both"/>
      </w:pPr>
      <w:r>
        <w:rPr>
          <w:i w:val="0"/>
        </w:rPr>
        <w:t>En el marco formal de la mecánica de medios continuos, el macizo rocoso intacto sometido a tensiones se modela como un medio continuo homogéneo, elástico y transversalmente isotrópico. La relación constitutiva entre el tensor de esfuerzos elásticos sigma_ij y el tensor de deformaciones unitarias infinitesimales epsilon_kl se rige por la ley de Hooke generalizada en tres dimensiones:</w:t>
      </w:r>
    </w:p>
    <w:p>
      <w:pPr>
        <w:spacing w:before="120" w:after="120"/>
        <w:jc w:val="center"/>
      </w:pPr>
      <w:r>
        <w:rPr>
          <w:b/>
          <w:sz w:val="21"/>
        </w:rPr>
        <w:t>ε_ij = C_ijkl^-1 · σ_kl</w:t>
      </w:r>
    </w:p>
    <w:p>
      <w:pPr>
        <w:spacing w:after="40"/>
        <w:jc w:val="left"/>
      </w:pPr>
      <w:r>
        <w:rPr>
          <w:i/>
        </w:rPr>
        <w:t>donde:</w:t>
      </w:r>
    </w:p>
    <w:p>
      <w:pPr>
        <w:pStyle w:val="ListBullet"/>
        <w:spacing w:after="80" w:line="276" w:lineRule="auto"/>
        <w:jc w:val="both"/>
      </w:pPr>
      <w:r>
        <w:t>ε_ij = tensor simétrico de deformaciones unitarias elásticas (i, j = 1, 2, 3),</w:t>
      </w:r>
    </w:p>
    <w:p>
      <w:pPr>
        <w:pStyle w:val="ListBullet"/>
        <w:spacing w:after="80" w:line="276" w:lineRule="auto"/>
        <w:jc w:val="both"/>
      </w:pPr>
      <w:r>
        <w:t>C_ijkl = tensor de rigidez elástica constitutiva de cuarto orden (21 constantes elásticas independientes en el caso general anisótropo),</w:t>
      </w:r>
    </w:p>
    <w:p>
      <w:pPr>
        <w:pStyle w:val="ListBullet"/>
        <w:spacing w:after="80" w:line="276" w:lineRule="auto"/>
        <w:jc w:val="both"/>
      </w:pPr>
      <w:r>
        <w:t>σ_kl = tensor simétrico de esfuerzos de Cauchy (k, l = 1, 2, 3).</w:t>
      </w:r>
    </w:p>
    <w:p>
      <w:pPr>
        <w:spacing w:after="120" w:line="276" w:lineRule="auto"/>
        <w:jc w:val="both"/>
      </w:pPr>
      <w:r>
        <w:rPr>
          <w:i w:val="0"/>
        </w:rPr>
        <w:t>Para una roca volcánica andesítica masiva que presenta isotropía estadística transversal en el plano del frente, la matriz de rigidez elástica se reduce a dos parámetros constitutivos independientes fundamentales: el Módulo de Young intacto (Ei) y la Relación de Poisson (nu).</w:t>
      </w:r>
    </w:p>
    <w:p>
      <w:pPr>
        <w:spacing w:after="120" w:line="276" w:lineRule="auto"/>
        <w:jc w:val="both"/>
      </w:pPr>
      <w:r>
        <w:rPr>
          <w:i w:val="0"/>
        </w:rPr>
        <w:t>A fin de caracterizar experimentalmente las propiedades constitutivas y resistentes de la andesita porfirítica de Lincuna, se llevó a cabo un programa de caracterización mecánica en el Laboratorio de Mecánica de Rocas de la UNI FIGMM sobre 15 testigos de perforación diamantina (diámetro NX = 54.7 mm, relación longitud/diámetro L/D = 2.0 a 2.2) bajo riguroso cumplimiento de normas ASTM e ISRM:</w:t>
      </w:r>
    </w:p>
    <w:p>
      <w:pPr>
        <w:pStyle w:val="ListBullet"/>
        <w:spacing w:after="80" w:line="276" w:lineRule="auto"/>
        <w:jc w:val="both"/>
      </w:pPr>
      <w:r>
        <w:rPr>
          <w:b/>
        </w:rPr>
        <w:t xml:space="preserve">Ensayo de Compresión Uniaxial (ASTM D7012-14): </w:t>
      </w:r>
      <w:r>
        <w:t>Resistencia a la Compresión Uniaxial (UCS / sigma_ci): Determinada bajo norma ASTM D7012-14 en prensa servo-controlada a velocidad de deformación constante de 0.75 MPa/s. El valor medio experimental obtenido es UCS = 180.05 ± 12.40 MPa, clasificando a la andesita de Lincuna como una roca de resistencia extremadamente alta (Clase R5 en la escala ISRM).</w:t>
      </w:r>
    </w:p>
    <w:p>
      <w:pPr>
        <w:pStyle w:val="ListBullet"/>
        <w:spacing w:after="80" w:line="276" w:lineRule="auto"/>
        <w:jc w:val="both"/>
      </w:pPr>
      <w:r>
        <w:rPr>
          <w:b/>
        </w:rPr>
        <w:t xml:space="preserve">Ensayo Brasileño de Tracción Diametral (ASTM D3967-16): </w:t>
      </w:r>
      <w:r>
        <w:t>Resistencia a la Tracción Indirecta Brasileña (sigma_t): Determinada según norma ASTM D3967-16 en discos diametrales con espesor t = 0.5·D. El esfuerzo de tracción medio es sigma_t = 12.15 ± 1.10 MPa. La relación de anisotropía frágil UCS / sigma_t es de 14.82, lo que evidencia una roca altamente quebradiza y propensa a desconchamiento dinámico bajo tracción.</w:t>
      </w:r>
    </w:p>
    <w:p>
      <w:pPr>
        <w:pStyle w:val="ListBullet"/>
        <w:spacing w:after="80" w:line="276" w:lineRule="auto"/>
        <w:jc w:val="both"/>
      </w:pPr>
      <w:r>
        <w:rPr>
          <w:b/>
        </w:rPr>
        <w:t xml:space="preserve">Módulos Elásticos Estáticos: </w:t>
      </w:r>
      <w:r>
        <w:t>Parámetros Elásticos Estáticos: El módulo de deformabilidad secante al 50% de la carga de rotura es Ei = 42.50 ± 3.20 GPa, con una relación de Poisson elástica nu = 0.23 ± 0.02.</w:t>
      </w:r>
    </w:p>
    <w:p>
      <w:pPr>
        <w:pStyle w:val="ListBullet"/>
        <w:spacing w:after="80" w:line="276" w:lineRule="auto"/>
        <w:jc w:val="both"/>
      </w:pPr>
      <w:r>
        <w:rPr>
          <w:b/>
        </w:rPr>
        <w:t xml:space="preserve">Velocidad de Ondas Sísmicas y Elásticas: </w:t>
      </w:r>
      <w:r>
        <w:t>Propiedades Dinámicas Ultrasónicas (ASTM D2845): La velocidad de propagación de ondas compresionales longitudinales es Vp = 4,850 ± 150 m/s y la de ondas de cizalla transversal es Vs = 2,780 ± 95 m/s. A partir de estas velocidades y la densidad de 2.70 TM/m³, el Módulo de Young dinámico resulta Ed = 48.90 GPa y el Poisson dinámico nu_d = 0.255.</w:t>
      </w:r>
    </w:p>
    <w:p>
      <w:pPr>
        <w:pStyle w:val="ListBullet"/>
        <w:spacing w:after="80" w:line="276" w:lineRule="auto"/>
        <w:jc w:val="both"/>
      </w:pPr>
      <w:r>
        <w:rPr>
          <w:b/>
        </w:rPr>
        <w:t xml:space="preserve">Mecánica de Fractura Lineal Elástica (LEFM): </w:t>
      </w:r>
      <w:r>
        <w:t>Tenacidad a la Fractura en Modo I (KIc): Evaluada mediante el método sugerido por la ISRM en probetas cilíndricas con ranura en espiga (CCNBD), arrojando una tenacidad crítica media KIc = 1.85 ± 0.15 MPa·m^0.5, valor que gobierna el límite de iniciación de microfisuras bajo la presión de gases de detonación.</w:t>
      </w:r>
    </w:p>
    <w:p>
      <w:pPr>
        <w:spacing w:after="120" w:line="276" w:lineRule="auto"/>
        <w:jc w:val="both"/>
      </w:pPr>
      <w:r>
        <w:rPr>
          <w:i w:val="0"/>
        </w:rPr>
        <w:t>La respuesta frágil de la andesita se caracteriza por una marcada degradación post-pico donde la deformación plástica se concentra en bandas de cizalla estrechas. La energía de deformación elástica acumulada durante la compresión se libera casi instantáneamente al sobrepasar el límite de fluencia, lo cual acentúa la necesidad de evitar concentraciones de choque dinámico que induzcan microfisuras radiales en el contorno del túnel.</w:t>
      </w:r>
    </w:p>
    <w:p>
      <w:pPr>
        <w:keepNext/>
        <w:spacing w:before="160" w:after="40"/>
        <w:jc w:val="center"/>
      </w:pPr>
      <w:r>
        <w:rPr>
          <w:b/>
        </w:rPr>
        <w:t>Tabla 2</w:t>
      </w:r>
    </w:p>
    <w:p>
      <w:pPr>
        <w:keepNext/>
        <w:spacing w:after="120"/>
        <w:jc w:val="center"/>
      </w:pPr>
      <w:r>
        <w:rPr>
          <w:i/>
        </w:rPr>
        <w:t>Propiedades Físico-Mecánicas de la Roca Intacta y del Macizo Rocoso (Laboratorio UNI FIGMM).</w:t>
      </w:r>
    </w:p>
    <w:tbl>
      <w:tblPr>
        <w:tblW w:type="auto" w:w="0"/>
        <w:jc w:val="center"/>
        <w:tblLook w:firstColumn="1" w:firstRow="1" w:lastColumn="0" w:lastRow="0" w:noHBand="0" w:noVBand="1" w:val="04A0"/>
      </w:tblPr>
      <w:tblGrid>
        <w:gridCol w:w="1758"/>
        <w:gridCol w:w="1758"/>
        <w:gridCol w:w="1758"/>
        <w:gridCol w:w="1758"/>
        <w:gridCol w:w="1758"/>
      </w:tblGrid>
      <w:tr>
        <w:tc>
          <w:tcPr>
            <w:tcW w:type="dxa" w:w="1758"/>
            <w:shd w:fill="0D233A"/>
          </w:tcPr>
          <w:p>
            <w:r>
              <w:rPr>
                <w:b/>
                <w:color w:val="FFFFFF"/>
                <w:sz w:val="17"/>
              </w:rPr>
              <w:t>Propiedad Físico-Mecánica</w:t>
            </w:r>
          </w:p>
        </w:tc>
        <w:tc>
          <w:tcPr>
            <w:tcW w:type="dxa" w:w="1758"/>
            <w:shd w:fill="0D233A"/>
          </w:tcPr>
          <w:p>
            <w:r>
              <w:rPr>
                <w:b/>
                <w:color w:val="FFFFFF"/>
                <w:sz w:val="17"/>
              </w:rPr>
              <w:t>Norma ASTM / ISRM</w:t>
            </w:r>
          </w:p>
        </w:tc>
        <w:tc>
          <w:tcPr>
            <w:tcW w:type="dxa" w:w="1758"/>
            <w:shd w:fill="0D233A"/>
          </w:tcPr>
          <w:p>
            <w:r>
              <w:rPr>
                <w:b/>
                <w:color w:val="FFFFFF"/>
                <w:sz w:val="17"/>
              </w:rPr>
              <w:t>N° Muestras</w:t>
            </w:r>
          </w:p>
        </w:tc>
        <w:tc>
          <w:tcPr>
            <w:tcW w:type="dxa" w:w="1758"/>
            <w:shd w:fill="0D233A"/>
          </w:tcPr>
          <w:p>
            <w:r>
              <w:rPr>
                <w:b/>
                <w:color w:val="FFFFFF"/>
                <w:sz w:val="17"/>
              </w:rPr>
              <w:t>Valor Medio ± Desv.</w:t>
            </w:r>
          </w:p>
        </w:tc>
        <w:tc>
          <w:tcPr>
            <w:tcW w:type="dxa" w:w="1758"/>
            <w:shd w:fill="0D233A"/>
          </w:tcPr>
          <w:p>
            <w:r>
              <w:rPr>
                <w:b/>
                <w:color w:val="FFFFFF"/>
                <w:sz w:val="17"/>
              </w:rPr>
              <w:t>Unidad</w:t>
            </w:r>
          </w:p>
        </w:tc>
      </w:tr>
      <w:tr>
        <w:tc>
          <w:tcPr>
            <w:tcW w:type="dxa" w:w="1758"/>
          </w:tcPr>
          <w:p>
            <w:r>
              <w:rPr>
                <w:sz w:val="16"/>
              </w:rPr>
              <w:t>Densidad de Roca Intacta (ρr)</w:t>
            </w:r>
          </w:p>
        </w:tc>
        <w:tc>
          <w:tcPr>
            <w:tcW w:type="dxa" w:w="1758"/>
          </w:tcPr>
          <w:p>
            <w:r>
              <w:rPr>
                <w:sz w:val="16"/>
              </w:rPr>
              <w:t>ASTM D854</w:t>
            </w:r>
          </w:p>
        </w:tc>
        <w:tc>
          <w:tcPr>
            <w:tcW w:type="dxa" w:w="1758"/>
          </w:tcPr>
          <w:p>
            <w:r>
              <w:rPr>
                <w:sz w:val="16"/>
              </w:rPr>
              <w:t>15</w:t>
            </w:r>
          </w:p>
        </w:tc>
        <w:tc>
          <w:tcPr>
            <w:tcW w:type="dxa" w:w="1758"/>
          </w:tcPr>
          <w:p>
            <w:r>
              <w:rPr>
                <w:sz w:val="16"/>
              </w:rPr>
              <w:t>2.70 ± 0.04</w:t>
            </w:r>
          </w:p>
        </w:tc>
        <w:tc>
          <w:tcPr>
            <w:tcW w:type="dxa" w:w="1758"/>
          </w:tcPr>
          <w:p>
            <w:r>
              <w:rPr>
                <w:sz w:val="16"/>
              </w:rPr>
              <w:t>TM/m³</w:t>
            </w:r>
          </w:p>
        </w:tc>
      </w:tr>
      <w:tr>
        <w:tc>
          <w:tcPr>
            <w:tcW w:type="dxa" w:w="1758"/>
            <w:shd w:fill="F8F9FA"/>
          </w:tcPr>
          <w:p>
            <w:r>
              <w:rPr>
                <w:sz w:val="16"/>
              </w:rPr>
              <w:t>Porosidad Efectiva (n)</w:t>
            </w:r>
          </w:p>
        </w:tc>
        <w:tc>
          <w:tcPr>
            <w:tcW w:type="dxa" w:w="1758"/>
            <w:shd w:fill="F8F9FA"/>
          </w:tcPr>
          <w:p>
            <w:r>
              <w:rPr>
                <w:sz w:val="16"/>
              </w:rPr>
              <w:t>ISRM Suggested Method</w:t>
            </w:r>
          </w:p>
        </w:tc>
        <w:tc>
          <w:tcPr>
            <w:tcW w:type="dxa" w:w="1758"/>
            <w:shd w:fill="F8F9FA"/>
          </w:tcPr>
          <w:p>
            <w:r>
              <w:rPr>
                <w:sz w:val="16"/>
              </w:rPr>
              <w:t>15</w:t>
            </w:r>
          </w:p>
        </w:tc>
        <w:tc>
          <w:tcPr>
            <w:tcW w:type="dxa" w:w="1758"/>
            <w:shd w:fill="F8F9FA"/>
          </w:tcPr>
          <w:p>
            <w:r>
              <w:rPr>
                <w:sz w:val="16"/>
              </w:rPr>
              <w:t>1.85 ± 0.20</w:t>
            </w:r>
          </w:p>
        </w:tc>
        <w:tc>
          <w:tcPr>
            <w:tcW w:type="dxa" w:w="1758"/>
            <w:shd w:fill="F8F9FA"/>
          </w:tcPr>
          <w:p>
            <w:r>
              <w:rPr>
                <w:sz w:val="16"/>
              </w:rPr>
              <w:t>%</w:t>
            </w:r>
          </w:p>
        </w:tc>
      </w:tr>
      <w:tr>
        <w:tc>
          <w:tcPr>
            <w:tcW w:type="dxa" w:w="1758"/>
          </w:tcPr>
          <w:p>
            <w:r>
              <w:rPr>
                <w:sz w:val="16"/>
              </w:rPr>
              <w:t>Resistencia Compresión Uniaxial (UCS)</w:t>
            </w:r>
          </w:p>
        </w:tc>
        <w:tc>
          <w:tcPr>
            <w:tcW w:type="dxa" w:w="1758"/>
          </w:tcPr>
          <w:p>
            <w:r>
              <w:rPr>
                <w:sz w:val="16"/>
              </w:rPr>
              <w:t>ASTM D7012-14</w:t>
            </w:r>
          </w:p>
        </w:tc>
        <w:tc>
          <w:tcPr>
            <w:tcW w:type="dxa" w:w="1758"/>
          </w:tcPr>
          <w:p>
            <w:r>
              <w:rPr>
                <w:sz w:val="16"/>
              </w:rPr>
              <w:t>15</w:t>
            </w:r>
          </w:p>
        </w:tc>
        <w:tc>
          <w:tcPr>
            <w:tcW w:type="dxa" w:w="1758"/>
          </w:tcPr>
          <w:p>
            <w:r>
              <w:rPr>
                <w:sz w:val="16"/>
              </w:rPr>
              <w:t>180.05 ± 12.40</w:t>
            </w:r>
          </w:p>
        </w:tc>
        <w:tc>
          <w:tcPr>
            <w:tcW w:type="dxa" w:w="1758"/>
          </w:tcPr>
          <w:p>
            <w:r>
              <w:rPr>
                <w:sz w:val="16"/>
              </w:rPr>
              <w:t>MPa</w:t>
            </w:r>
          </w:p>
        </w:tc>
      </w:tr>
      <w:tr>
        <w:tc>
          <w:tcPr>
            <w:tcW w:type="dxa" w:w="1758"/>
            <w:shd w:fill="F8F9FA"/>
          </w:tcPr>
          <w:p>
            <w:r>
              <w:rPr>
                <w:sz w:val="16"/>
              </w:rPr>
              <w:t>Resistencia Tracción Brasileña (σt)</w:t>
            </w:r>
          </w:p>
        </w:tc>
        <w:tc>
          <w:tcPr>
            <w:tcW w:type="dxa" w:w="1758"/>
            <w:shd w:fill="F8F9FA"/>
          </w:tcPr>
          <w:p>
            <w:r>
              <w:rPr>
                <w:sz w:val="16"/>
              </w:rPr>
              <w:t>ASTM D3967-16</w:t>
            </w:r>
          </w:p>
        </w:tc>
        <w:tc>
          <w:tcPr>
            <w:tcW w:type="dxa" w:w="1758"/>
            <w:shd w:fill="F8F9FA"/>
          </w:tcPr>
          <w:p>
            <w:r>
              <w:rPr>
                <w:sz w:val="16"/>
              </w:rPr>
              <w:t>15</w:t>
            </w:r>
          </w:p>
        </w:tc>
        <w:tc>
          <w:tcPr>
            <w:tcW w:type="dxa" w:w="1758"/>
            <w:shd w:fill="F8F9FA"/>
          </w:tcPr>
          <w:p>
            <w:r>
              <w:rPr>
                <w:sz w:val="16"/>
              </w:rPr>
              <w:t>12.15 ± 1.10</w:t>
            </w:r>
          </w:p>
        </w:tc>
        <w:tc>
          <w:tcPr>
            <w:tcW w:type="dxa" w:w="1758"/>
            <w:shd w:fill="F8F9FA"/>
          </w:tcPr>
          <w:p>
            <w:r>
              <w:rPr>
                <w:sz w:val="16"/>
              </w:rPr>
              <w:t>MPa</w:t>
            </w:r>
          </w:p>
        </w:tc>
      </w:tr>
      <w:tr>
        <w:tc>
          <w:tcPr>
            <w:tcW w:type="dxa" w:w="1758"/>
          </w:tcPr>
          <w:p>
            <w:r>
              <w:rPr>
                <w:sz w:val="16"/>
              </w:rPr>
              <w:t>Módulo de Young Intacto (Ei)</w:t>
            </w:r>
          </w:p>
        </w:tc>
        <w:tc>
          <w:tcPr>
            <w:tcW w:type="dxa" w:w="1758"/>
          </w:tcPr>
          <w:p>
            <w:r>
              <w:rPr>
                <w:sz w:val="16"/>
              </w:rPr>
              <w:t>ASTM D7012-14</w:t>
            </w:r>
          </w:p>
        </w:tc>
        <w:tc>
          <w:tcPr>
            <w:tcW w:type="dxa" w:w="1758"/>
          </w:tcPr>
          <w:p>
            <w:r>
              <w:rPr>
                <w:sz w:val="16"/>
              </w:rPr>
              <w:t>15</w:t>
            </w:r>
          </w:p>
        </w:tc>
        <w:tc>
          <w:tcPr>
            <w:tcW w:type="dxa" w:w="1758"/>
          </w:tcPr>
          <w:p>
            <w:r>
              <w:rPr>
                <w:sz w:val="16"/>
              </w:rPr>
              <w:t>42.50 ± 3.20</w:t>
            </w:r>
          </w:p>
        </w:tc>
        <w:tc>
          <w:tcPr>
            <w:tcW w:type="dxa" w:w="1758"/>
          </w:tcPr>
          <w:p>
            <w:r>
              <w:rPr>
                <w:sz w:val="16"/>
              </w:rPr>
              <w:t>GPa</w:t>
            </w:r>
          </w:p>
        </w:tc>
      </w:tr>
      <w:tr>
        <w:tc>
          <w:tcPr>
            <w:tcW w:type="dxa" w:w="1758"/>
            <w:shd w:fill="F8F9FA"/>
          </w:tcPr>
          <w:p>
            <w:r>
              <w:rPr>
                <w:sz w:val="16"/>
              </w:rPr>
              <w:t>Relación de Poisson (ν)</w:t>
            </w:r>
          </w:p>
        </w:tc>
        <w:tc>
          <w:tcPr>
            <w:tcW w:type="dxa" w:w="1758"/>
            <w:shd w:fill="F8F9FA"/>
          </w:tcPr>
          <w:p>
            <w:r>
              <w:rPr>
                <w:sz w:val="16"/>
              </w:rPr>
              <w:t>ASTM D7012-14</w:t>
            </w:r>
          </w:p>
        </w:tc>
        <w:tc>
          <w:tcPr>
            <w:tcW w:type="dxa" w:w="1758"/>
            <w:shd w:fill="F8F9FA"/>
          </w:tcPr>
          <w:p>
            <w:r>
              <w:rPr>
                <w:sz w:val="16"/>
              </w:rPr>
              <w:t>15</w:t>
            </w:r>
          </w:p>
        </w:tc>
        <w:tc>
          <w:tcPr>
            <w:tcW w:type="dxa" w:w="1758"/>
            <w:shd w:fill="F8F9FA"/>
          </w:tcPr>
          <w:p>
            <w:r>
              <w:rPr>
                <w:sz w:val="16"/>
              </w:rPr>
              <w:t>0.23 ± 0.02</w:t>
            </w:r>
          </w:p>
        </w:tc>
        <w:tc>
          <w:tcPr>
            <w:tcW w:type="dxa" w:w="1758"/>
            <w:shd w:fill="F8F9FA"/>
          </w:tcPr>
          <w:p>
            <w:r>
              <w:rPr>
                <w:sz w:val="16"/>
              </w:rPr>
              <w:t>adimensional</w:t>
            </w:r>
          </w:p>
        </w:tc>
      </w:tr>
      <w:tr>
        <w:tc>
          <w:tcPr>
            <w:tcW w:type="dxa" w:w="1758"/>
          </w:tcPr>
          <w:p>
            <w:r>
              <w:rPr>
                <w:sz w:val="16"/>
              </w:rPr>
              <w:t>Velocidad Onda Compresional (Vp)</w:t>
            </w:r>
          </w:p>
        </w:tc>
        <w:tc>
          <w:tcPr>
            <w:tcW w:type="dxa" w:w="1758"/>
          </w:tcPr>
          <w:p>
            <w:r>
              <w:rPr>
                <w:sz w:val="16"/>
              </w:rPr>
              <w:t>ASTM D2845</w:t>
            </w:r>
          </w:p>
        </w:tc>
        <w:tc>
          <w:tcPr>
            <w:tcW w:type="dxa" w:w="1758"/>
          </w:tcPr>
          <w:p>
            <w:r>
              <w:rPr>
                <w:sz w:val="16"/>
              </w:rPr>
              <w:t>15</w:t>
            </w:r>
          </w:p>
        </w:tc>
        <w:tc>
          <w:tcPr>
            <w:tcW w:type="dxa" w:w="1758"/>
          </w:tcPr>
          <w:p>
            <w:r>
              <w:rPr>
                <w:sz w:val="16"/>
              </w:rPr>
              <w:t>4,850 ± 150</w:t>
            </w:r>
          </w:p>
        </w:tc>
        <w:tc>
          <w:tcPr>
            <w:tcW w:type="dxa" w:w="1758"/>
          </w:tcPr>
          <w:p>
            <w:r>
              <w:rPr>
                <w:sz w:val="16"/>
              </w:rPr>
              <w:t>m/s</w:t>
            </w:r>
          </w:p>
        </w:tc>
      </w:tr>
      <w:tr>
        <w:tc>
          <w:tcPr>
            <w:tcW w:type="dxa" w:w="1758"/>
            <w:shd w:fill="F8F9FA"/>
          </w:tcPr>
          <w:p>
            <w:r>
              <w:rPr>
                <w:sz w:val="16"/>
              </w:rPr>
              <w:t>Velocidad Onda Cizalla (Vs)</w:t>
            </w:r>
          </w:p>
        </w:tc>
        <w:tc>
          <w:tcPr>
            <w:tcW w:type="dxa" w:w="1758"/>
            <w:shd w:fill="F8F9FA"/>
          </w:tcPr>
          <w:p>
            <w:r>
              <w:rPr>
                <w:sz w:val="16"/>
              </w:rPr>
              <w:t>ASTM D2845</w:t>
            </w:r>
          </w:p>
        </w:tc>
        <w:tc>
          <w:tcPr>
            <w:tcW w:type="dxa" w:w="1758"/>
            <w:shd w:fill="F8F9FA"/>
          </w:tcPr>
          <w:p>
            <w:r>
              <w:rPr>
                <w:sz w:val="16"/>
              </w:rPr>
              <w:t>15</w:t>
            </w:r>
          </w:p>
        </w:tc>
        <w:tc>
          <w:tcPr>
            <w:tcW w:type="dxa" w:w="1758"/>
            <w:shd w:fill="F8F9FA"/>
          </w:tcPr>
          <w:p>
            <w:r>
              <w:rPr>
                <w:sz w:val="16"/>
              </w:rPr>
              <w:t>2,780 ± 95</w:t>
            </w:r>
          </w:p>
        </w:tc>
        <w:tc>
          <w:tcPr>
            <w:tcW w:type="dxa" w:w="1758"/>
            <w:shd w:fill="F8F9FA"/>
          </w:tcPr>
          <w:p>
            <w:r>
              <w:rPr>
                <w:sz w:val="16"/>
              </w:rPr>
              <w:t>m/s</w:t>
            </w:r>
          </w:p>
        </w:tc>
      </w:tr>
      <w:tr>
        <w:tc>
          <w:tcPr>
            <w:tcW w:type="dxa" w:w="1758"/>
          </w:tcPr>
          <w:p>
            <w:r>
              <w:rPr>
                <w:sz w:val="16"/>
              </w:rPr>
              <w:t>Tenacidad a la Fractura Modo I (KIc)</w:t>
            </w:r>
          </w:p>
        </w:tc>
        <w:tc>
          <w:tcPr>
            <w:tcW w:type="dxa" w:w="1758"/>
          </w:tcPr>
          <w:p>
            <w:r>
              <w:rPr>
                <w:sz w:val="16"/>
              </w:rPr>
              <w:t>ISRM Suggested Method</w:t>
            </w:r>
          </w:p>
        </w:tc>
        <w:tc>
          <w:tcPr>
            <w:tcW w:type="dxa" w:w="1758"/>
          </w:tcPr>
          <w:p>
            <w:r>
              <w:rPr>
                <w:sz w:val="16"/>
              </w:rPr>
              <w:t>15</w:t>
            </w:r>
          </w:p>
        </w:tc>
        <w:tc>
          <w:tcPr>
            <w:tcW w:type="dxa" w:w="1758"/>
          </w:tcPr>
          <w:p>
            <w:r>
              <w:rPr>
                <w:sz w:val="16"/>
              </w:rPr>
              <w:t>1.85 ± 0.15</w:t>
            </w:r>
          </w:p>
        </w:tc>
        <w:tc>
          <w:tcPr>
            <w:tcW w:type="dxa" w:w="1758"/>
          </w:tcPr>
          <w:p>
            <w:r>
              <w:rPr>
                <w:sz w:val="16"/>
              </w:rPr>
              <w:t>MPa·m^0.5</w:t>
            </w:r>
          </w:p>
        </w:tc>
      </w:tr>
    </w:tbl>
    <w:p>
      <w:pPr>
        <w:keepNext/>
        <w:spacing w:before="220" w:after="60"/>
        <w:jc w:val="left"/>
      </w:pPr>
      <w:r>
        <w:rPr>
          <w:b/>
          <w:sz w:val="22"/>
        </w:rPr>
        <w:t>2.3. Criterio de Rotura Generalizado de Hoek-Brown Dinámico (Edición 2018)</w:t>
      </w:r>
    </w:p>
    <w:p>
      <w:pPr>
        <w:spacing w:after="120" w:line="276" w:lineRule="auto"/>
        <w:jc w:val="both"/>
      </w:pPr>
      <w:r>
        <w:rPr>
          <w:i w:val="0"/>
        </w:rPr>
        <w:t>Para predecir el comportamiento plástico y el estado límite de falla del macizo rocoso fracturado en condiciones subterráneas bajo confinamiento in-situ y perturbación dinámica por voladura, se emplea el Criterio Generalizado de Rotura de Hoek-Brown en su versión actualizada (Hoek, Carter &amp; Diederichs, 2018):</w:t>
      </w:r>
    </w:p>
    <w:p>
      <w:pPr>
        <w:spacing w:before="120" w:after="120"/>
        <w:jc w:val="center"/>
      </w:pPr>
      <w:r>
        <w:rPr>
          <w:b/>
          <w:sz w:val="21"/>
        </w:rPr>
        <w:t>σ_1' = σ_3' + σ_ci · [ m_b · (σ_3' / σ_ci) + s ]^a</w:t>
      </w:r>
    </w:p>
    <w:p>
      <w:pPr>
        <w:spacing w:after="40"/>
        <w:jc w:val="left"/>
      </w:pPr>
      <w:r>
        <w:rPr>
          <w:i/>
        </w:rPr>
        <w:t>donde:</w:t>
      </w:r>
    </w:p>
    <w:p>
      <w:pPr>
        <w:pStyle w:val="ListBullet"/>
        <w:spacing w:after="80" w:line="276" w:lineRule="auto"/>
        <w:jc w:val="both"/>
      </w:pPr>
      <w:r>
        <w:t>σ_1' = esfuerzo principal mayor efectivo en la condición de rotura plástica (MPa),</w:t>
      </w:r>
    </w:p>
    <w:p>
      <w:pPr>
        <w:pStyle w:val="ListBullet"/>
        <w:spacing w:after="80" w:line="276" w:lineRule="auto"/>
        <w:jc w:val="both"/>
      </w:pPr>
      <w:r>
        <w:t>σ_3' = esfuerzo principal menor efectivo de confinamiento tangencial (MPa),</w:t>
      </w:r>
    </w:p>
    <w:p>
      <w:pPr>
        <w:pStyle w:val="ListBullet"/>
        <w:spacing w:after="80" w:line="276" w:lineRule="auto"/>
        <w:jc w:val="both"/>
      </w:pPr>
      <w:r>
        <w:t>σ_ci = resistencia a compresión uniaxial de la roca intacta medida en laboratorio (180.05 MPa),</w:t>
      </w:r>
    </w:p>
    <w:p>
      <w:pPr>
        <w:pStyle w:val="ListBullet"/>
        <w:spacing w:after="80" w:line="276" w:lineRule="auto"/>
        <w:jc w:val="both"/>
      </w:pPr>
      <w:r>
        <w:t>m_b = constante reducida de Hoek-Brown para el macizo rocoso fracturado,</w:t>
      </w:r>
    </w:p>
    <w:p>
      <w:pPr>
        <w:pStyle w:val="ListBullet"/>
        <w:spacing w:after="80" w:line="276" w:lineRule="auto"/>
        <w:jc w:val="both"/>
      </w:pPr>
      <w:r>
        <w:t>s, a = parámetros adimensionales que caracterizan la degradación estructural del macizo.</w:t>
      </w:r>
    </w:p>
    <w:p>
      <w:pPr>
        <w:spacing w:after="120" w:line="276" w:lineRule="auto"/>
        <w:jc w:val="both"/>
      </w:pPr>
      <w:r>
        <w:rPr>
          <w:i w:val="0"/>
        </w:rPr>
        <w:t>Los parámetros constitutivos m_b, s y a se determinan a partir del Índice de Resistencia Geológica (GSI = 50 para la andesita Tipo III-B de Lincuna), la constante petrográfica de roca intacta (mi = 19 para andesitas volcánicas según Hoek) y el factor de perturbación por voladura D:</w:t>
      </w:r>
    </w:p>
    <w:p>
      <w:pPr>
        <w:spacing w:before="120" w:after="120"/>
        <w:jc w:val="center"/>
      </w:pPr>
      <w:r>
        <w:rPr>
          <w:b/>
          <w:sz w:val="21"/>
        </w:rPr>
        <w:t>m_b = m_i · exp( (GSI - 100) / (28 - 14·D) ) = 19 · exp( (50 - 100) / 28 ) = 4.25   [para D = 0.0]</w:t>
      </w:r>
    </w:p>
    <w:p>
      <w:pPr>
        <w:spacing w:before="120" w:after="120"/>
        <w:jc w:val="center"/>
      </w:pPr>
      <w:r>
        <w:rPr>
          <w:b/>
          <w:sz w:val="21"/>
        </w:rPr>
        <w:t>s = exp( (GSI - 100) / (9 - 3·D) ) = exp( (50 - 100) / 9 ) = 0.0039   [para D = 0.0]</w:t>
      </w:r>
    </w:p>
    <w:p>
      <w:pPr>
        <w:spacing w:before="120" w:after="120"/>
        <w:jc w:val="center"/>
      </w:pPr>
      <w:r>
        <w:rPr>
          <w:b/>
          <w:sz w:val="21"/>
        </w:rPr>
        <w:t>a = 0.5 + (1/6) · [ exp(-GSI / 15) - exp(-20/3) ] = 0.506</w:t>
      </w:r>
    </w:p>
    <w:p>
      <w:pPr>
        <w:spacing w:after="120" w:line="276" w:lineRule="auto"/>
        <w:jc w:val="both"/>
      </w:pPr>
      <w:r>
        <w:rPr>
          <w:i w:val="0"/>
        </w:rPr>
        <w:t>En la práctica operativa tradicional, cuando se ejecuta voladura de contorno con cartuchos de alto diámetro acoplados directamente a la roca, las sobrepresiones dinámicas inducen micro-fracturamiento masivo que degrada el macizo perimétrico, elevando el factor de perturbación a D = 0.8. Esta degradación reduce los parámetros resistentes a m_b = 1.05 y s = 0.0001, provocando plastificación prematura y sobrerotura severa. Por el contrario, la implementación del diseño agéntico desacoplado preserva el macizo perimétrico intacto con un factor de daño D = 0.0, conservando el módulo de deformabilidad del macizo rocoso en Erm = 22.40 GPa.</w:t>
      </w:r>
    </w:p>
    <w:p>
      <w:pPr>
        <w:spacing w:after="120" w:line="276" w:lineRule="auto"/>
        <w:jc w:val="both"/>
      </w:pPr>
      <w:r>
        <w:rPr>
          <w:i w:val="0"/>
        </w:rPr>
        <w:t>La envolvente de resistencia no lineal de Hoek-Brown permite contrastar las tensiones tangenciales inducidas en la pared del túnel con la capacidad portante residual del macizo. Mantener el factor D = 0.0 mediante voladura desacoplada asegura que la cohesión equivalente del macizo rocoso (crm = 4.85 MPa) y su ángulo de fricción interna (phi_rm = 43.5°) no sufran atenuación antrópica, manteniendo la estabilidad intrínseca de la bóveda excavada.</w:t>
      </w:r>
    </w:p>
    <w:p>
      <w:pPr>
        <w:keepNext/>
        <w:spacing w:before="220" w:after="60"/>
        <w:jc w:val="left"/>
      </w:pPr>
      <w:r>
        <w:rPr>
          <w:b/>
          <w:sz w:val="22"/>
        </w:rPr>
        <w:t>2.4. Mecánica de Fractura Dinámica y Criterio de Griffith Extendido</w:t>
      </w:r>
    </w:p>
    <w:p>
      <w:pPr>
        <w:spacing w:after="120" w:line="276" w:lineRule="auto"/>
        <w:jc w:val="both"/>
      </w:pPr>
      <w:r>
        <w:rPr>
          <w:i w:val="0"/>
        </w:rPr>
        <w:t>El proceso de fragmentación y agrietamiento de la roca inducido por voladura es un fenómeno dinámico no lineal que se desarrolla en dos fases físicas acopladas en el dominio temporal:</w:t>
      </w:r>
    </w:p>
    <w:p>
      <w:pPr>
        <w:spacing w:after="120" w:line="276" w:lineRule="auto"/>
        <w:jc w:val="both"/>
      </w:pPr>
      <w:r>
        <w:rPr>
          <w:i w:val="0"/>
        </w:rPr>
        <w:t>1. Fase de Onda de Choque Dinámica (t = 0 a 2 milisegundos): La detonación del explosivo genera una onda de compresión supersónica de alta amplitud (onda P) que viaja radialmente hacia el macizo rocoso a 4,850 m/s. Al alcanzar una superficie libre o la pared de una cavidad excavada, la onda compresiva se refleja como una onda de tracción (onda de desconchamiento o spalling). Dado que la resistencia a la tracción de la andesita (12.15 MPa) es apenas el 6.7% de su resistencia compresiva (180.05 MPa), la onda de tracción reflejada fractura la roca por tracción dinámica.</w:t>
      </w:r>
    </w:p>
    <w:p>
      <w:pPr>
        <w:spacing w:after="120" w:line="276" w:lineRule="auto"/>
        <w:jc w:val="both"/>
      </w:pPr>
      <w:r>
        <w:rPr>
          <w:i w:val="0"/>
        </w:rPr>
        <w:t>2. Fase de Cuña de Gases Cuasi-Estática (t = 2 a 50 milisegundos): Los gases de detonación a alta presión y temperatura penetran a velocidades hipersónicas en las microfisuras generadas por la onda de choque, actuando como una cuña hidráulica de gas que presuriza las discontinuidades y fuerza su propagación hasta la coalescencia completa inter-barreno.</w:t>
      </w:r>
    </w:p>
    <w:p>
      <w:pPr>
        <w:spacing w:after="120" w:line="276" w:lineRule="auto"/>
        <w:jc w:val="both"/>
      </w:pPr>
      <w:r>
        <w:rPr>
          <w:i w:val="0"/>
        </w:rPr>
        <w:t>De acuerdo con la Mecánica de Fractura Elástica Lineal (LEFM) y el criterio extendido de Griffith-Irwin, una microfisura radial de longitud 2a se propagará de forma inestable si el factor de intensidad de esfuerzos dinámico en la punta de la grieta K_I supera la tenacidad crítica a la fractura del macizo rocoso K_Ic:</w:t>
      </w:r>
    </w:p>
    <w:p>
      <w:pPr>
        <w:spacing w:before="120" w:after="120"/>
        <w:jc w:val="center"/>
      </w:pPr>
      <w:r>
        <w:rPr>
          <w:b/>
          <w:sz w:val="21"/>
        </w:rPr>
        <w:t>K_I = P_gas · √[ π · a ] · F(a / r_b) ≥ K_Ic = 1.85 MPa·m^0.5</w:t>
      </w:r>
    </w:p>
    <w:p>
      <w:pPr>
        <w:spacing w:after="40"/>
        <w:jc w:val="left"/>
      </w:pPr>
      <w:r>
        <w:rPr>
          <w:i/>
        </w:rPr>
        <w:t>donde:</w:t>
      </w:r>
    </w:p>
    <w:p>
      <w:pPr>
        <w:pStyle w:val="ListBullet"/>
        <w:spacing w:after="80" w:line="276" w:lineRule="auto"/>
        <w:jc w:val="both"/>
      </w:pPr>
      <w:r>
        <w:t>K_I = factor de intensidad de esfuerzos en Modo I de apertura pura (MPa·m^0.5),</w:t>
      </w:r>
    </w:p>
    <w:p>
      <w:pPr>
        <w:pStyle w:val="ListBullet"/>
        <w:spacing w:after="80" w:line="276" w:lineRule="auto"/>
        <w:jc w:val="both"/>
      </w:pPr>
      <w:r>
        <w:t>P_gas = presión hidrodinámica ejercida por los gases dentro de la fisura (MPa),</w:t>
      </w:r>
    </w:p>
    <w:p>
      <w:pPr>
        <w:pStyle w:val="ListBullet"/>
        <w:spacing w:after="80" w:line="276" w:lineRule="auto"/>
        <w:jc w:val="both"/>
      </w:pPr>
      <w:r>
        <w:t>a = longitud radial de la microfisura (m),</w:t>
      </w:r>
    </w:p>
    <w:p>
      <w:pPr>
        <w:pStyle w:val="ListBullet"/>
        <w:spacing w:after="80" w:line="276" w:lineRule="auto"/>
        <w:jc w:val="both"/>
      </w:pPr>
      <w:r>
        <w:t>r_b = radio del barreno de voladura (0.0225 m),</w:t>
      </w:r>
    </w:p>
    <w:p>
      <w:pPr>
        <w:pStyle w:val="ListBullet"/>
        <w:spacing w:after="80" w:line="276" w:lineRule="auto"/>
        <w:jc w:val="both"/>
      </w:pPr>
      <w:r>
        <w:t>F(a / r_b) = función geométrica adimensional de corrección de frontera para cavidades circulares presurizadas.</w:t>
      </w:r>
    </w:p>
    <w:p>
      <w:pPr>
        <w:spacing w:after="120" w:line="276" w:lineRule="auto"/>
        <w:jc w:val="both"/>
      </w:pPr>
      <w:r>
        <w:rPr>
          <w:i w:val="0"/>
        </w:rPr>
        <w:t>El control riguroso de la presión de pared mediante desacoplamiento (Pte = 164.96 MPa) asegura que el factor de intensidad K_I alcance el umbral de propagación exclusivamente en la dirección tangencial que conecta los barrenos de contorno contiguos, deteniendo la propagación de fisuras hacia el interior del macizo rocoso remanente y evitando el desprendimiento de sobre-excavaciones.</w:t>
      </w:r>
    </w:p>
    <w:p>
      <w:pPr>
        <w:spacing w:after="120" w:line="276" w:lineRule="auto"/>
        <w:jc w:val="both"/>
      </w:pPr>
      <w:r>
        <w:rPr>
          <w:i w:val="0"/>
        </w:rPr>
        <w:t>La velocidad de propagación de las grietas dinámicas inducidas por gas alcanza entre el 20% y el 40% de la velocidad de onda de corte Rayleigh (aprox. 850 a 1,100 m/s). Si la presión de detonación inicial no es controlada por el espacio anular de aire, la ramificación incontrolada de grietas bifurca el plano de fractura hacia el macizo profundo, generando bloques sueltos que colapsan antes de la instalación del sostenimiento mecanizado.</w:t>
      </w:r>
    </w:p>
    <w:p>
      <w:pPr>
        <w:keepNext/>
        <w:spacing w:before="220" w:after="60"/>
        <w:jc w:val="left"/>
      </w:pPr>
      <w:r>
        <w:rPr>
          <w:b/>
          <w:sz w:val="22"/>
        </w:rPr>
        <w:t>2.5. Termodinámica de la Detonación, Teoría Hidrodinámica C-J y Modelo Cinético ZND</w:t>
      </w:r>
    </w:p>
    <w:p>
      <w:pPr>
        <w:spacing w:after="120" w:line="276" w:lineRule="auto"/>
        <w:jc w:val="both"/>
      </w:pPr>
      <w:r>
        <w:rPr>
          <w:i w:val="0"/>
        </w:rPr>
        <w:t>La detonación de explosivos industriales responde a un proceso termodinámico de transformación química exotérmica ultrarrápida que se propaga en régimen supersónico. La base teórica clásica fue formulada independientemente por Chapman (1899) y Jouguet (1905), y posteriormente extendida por Zeldovich, von Neumann y Doering mediante el modelo de zona de reacción finita ZND.</w:t>
      </w:r>
    </w:p>
    <w:p>
      <w:pPr>
        <w:spacing w:after="120" w:line="276" w:lineRule="auto"/>
        <w:jc w:val="both"/>
      </w:pPr>
      <w:r>
        <w:rPr>
          <w:i w:val="0"/>
        </w:rPr>
        <w:t>En el frente de detonación estacionario, una onda de choque discontinua comprime adiabáticamente la matriz de emulsión no reaccionada desde su densidad inicial rho_0 = 1,000 kg/m³ hasta un estado de alta presión (el pico de von Neumann). A través del frente de choque se satisfacen rigurosamente las tres ecuaciones fundamentales de conservación unidimensional de Rankine-Hugoniot:</w:t>
      </w:r>
    </w:p>
    <w:p>
      <w:pPr>
        <w:spacing w:before="120" w:after="120"/>
        <w:jc w:val="center"/>
      </w:pPr>
      <w:r>
        <w:rPr>
          <w:b/>
          <w:sz w:val="21"/>
        </w:rPr>
        <w:t>ρ_0 · D = ρ · (D - u)</w:t>
      </w:r>
    </w:p>
    <w:p>
      <w:pPr>
        <w:spacing w:after="40"/>
        <w:jc w:val="left"/>
      </w:pPr>
      <w:r>
        <w:rPr>
          <w:i/>
        </w:rPr>
        <w:t>donde:</w:t>
      </w:r>
    </w:p>
    <w:p>
      <w:pPr>
        <w:pStyle w:val="ListBullet"/>
        <w:spacing w:after="80" w:line="276" w:lineRule="auto"/>
        <w:jc w:val="both"/>
      </w:pPr>
      <w:r>
        <w:t>ρ_0 = densidad inicial del explosivo antes de detonar (1,000 kg/m³ o 1.00 g/cm³),</w:t>
      </w:r>
    </w:p>
    <w:p>
      <w:pPr>
        <w:pStyle w:val="ListBullet"/>
        <w:spacing w:after="80" w:line="276" w:lineRule="auto"/>
        <w:jc w:val="both"/>
      </w:pPr>
      <w:r>
        <w:t>D = velocidad de detonación en régimen estacionario (VOD = 4,000 m/s para emulsión encartuchada),</w:t>
      </w:r>
    </w:p>
    <w:p>
      <w:pPr>
        <w:pStyle w:val="ListBullet"/>
        <w:spacing w:after="80" w:line="276" w:lineRule="auto"/>
        <w:jc w:val="both"/>
      </w:pPr>
      <w:r>
        <w:t>ρ = densidad de los productos de reacción comprimidos en el plano C-J,</w:t>
      </w:r>
    </w:p>
    <w:p>
      <w:pPr>
        <w:pStyle w:val="ListBullet"/>
        <w:spacing w:after="80" w:line="276" w:lineRule="auto"/>
        <w:jc w:val="both"/>
      </w:pPr>
      <w:r>
        <w:t>u = velocidad de masa o velocidad de partícula de los gases detrás del frente de choque (m/s).</w:t>
      </w:r>
    </w:p>
    <w:p>
      <w:pPr>
        <w:spacing w:before="120" w:after="120"/>
        <w:jc w:val="center"/>
      </w:pPr>
      <w:r>
        <w:rPr>
          <w:b/>
          <w:sz w:val="21"/>
        </w:rPr>
        <w:t>P - P_0 = ρ_0 · D · u</w:t>
      </w:r>
    </w:p>
    <w:p>
      <w:pPr>
        <w:spacing w:after="40"/>
        <w:jc w:val="left"/>
      </w:pPr>
      <w:r>
        <w:rPr>
          <w:i/>
        </w:rPr>
        <w:t>donde:</w:t>
      </w:r>
    </w:p>
    <w:p>
      <w:pPr>
        <w:pStyle w:val="ListBullet"/>
        <w:spacing w:after="80" w:line="276" w:lineRule="auto"/>
        <w:jc w:val="both"/>
      </w:pPr>
      <w:r>
        <w:t>P = presión hidrodinámica en el plano Chapman-Jouguet (MPa),</w:t>
      </w:r>
    </w:p>
    <w:p>
      <w:pPr>
        <w:pStyle w:val="ListBullet"/>
        <w:spacing w:after="80" w:line="276" w:lineRule="auto"/>
        <w:jc w:val="both"/>
      </w:pPr>
      <w:r>
        <w:t>P_0 = presión ambiental inicial (0.101 MPa, despreciable frente a P).</w:t>
      </w:r>
    </w:p>
    <w:p>
      <w:pPr>
        <w:spacing w:before="120" w:after="120"/>
        <w:jc w:val="center"/>
      </w:pPr>
      <w:r>
        <w:rPr>
          <w:b/>
          <w:sz w:val="21"/>
        </w:rPr>
        <w:t>E - E_0 = 0.5 · (P + P_0) · (1/ρ_0 - 1/ρ)</w:t>
      </w:r>
    </w:p>
    <w:p>
      <w:pPr>
        <w:spacing w:after="40"/>
        <w:jc w:val="left"/>
      </w:pPr>
      <w:r>
        <w:rPr>
          <w:i/>
        </w:rPr>
        <w:t>donde:</w:t>
      </w:r>
    </w:p>
    <w:p>
      <w:pPr>
        <w:pStyle w:val="ListBullet"/>
        <w:spacing w:after="80" w:line="276" w:lineRule="auto"/>
        <w:jc w:val="both"/>
      </w:pPr>
      <w:r>
        <w:t>E = energía interna específica de los gases detonados (4.15 GJ/m³),</w:t>
      </w:r>
    </w:p>
    <w:p>
      <w:pPr>
        <w:pStyle w:val="ListBullet"/>
        <w:spacing w:after="80" w:line="276" w:lineRule="auto"/>
        <w:jc w:val="both"/>
      </w:pPr>
      <w:r>
        <w:t>E_0 = energía interna química del explosivo en reposo.</w:t>
      </w:r>
    </w:p>
    <w:p>
      <w:pPr>
        <w:spacing w:after="120" w:line="276" w:lineRule="auto"/>
        <w:jc w:val="both"/>
      </w:pPr>
      <w:r>
        <w:rPr>
          <w:i w:val="0"/>
        </w:rPr>
        <w:t>En el plano sónico de Chapman-Jouguet, la velocidad del flujo de gases respecto al frente de choque coincide exactamente con la velocidad local del sonido en los productos de reacción (condición C-J: D = u + c_s). Empleando la ecuación de estado de gases reales de Cook con covolumen para explosivos densos condensados, la presión de detonación teórica en el plano C-J se expresa analíticamente como:</w:t>
      </w:r>
    </w:p>
    <w:p>
      <w:pPr>
        <w:spacing w:before="120" w:after="120"/>
        <w:jc w:val="center"/>
      </w:pPr>
      <w:r>
        <w:rPr>
          <w:b/>
          <w:sz w:val="21"/>
        </w:rPr>
        <w:t>P_t = 228 × 10^-6 · ρ_e · [ VOD^2 / (1 + 0.8 · ρ_e) ] = 228 × 10^-6 (1.00) [ 4000^2 / (1 + 0.8(1.00)) ] = 2,026.67 MPa</w:t>
      </w:r>
    </w:p>
    <w:p>
      <w:pPr>
        <w:spacing w:after="40"/>
        <w:jc w:val="left"/>
      </w:pPr>
      <w:r>
        <w:rPr>
          <w:i/>
        </w:rPr>
        <w:t>donde:</w:t>
      </w:r>
    </w:p>
    <w:p>
      <w:pPr>
        <w:pStyle w:val="ListBullet"/>
        <w:spacing w:after="80" w:line="276" w:lineRule="auto"/>
        <w:jc w:val="both"/>
      </w:pPr>
      <w:r>
        <w:t>P_t = presión hidrodinámica de detonación en el plano Chapman-Jouguet (2,026.67 MPa),</w:t>
      </w:r>
    </w:p>
    <w:p>
      <w:pPr>
        <w:pStyle w:val="ListBullet"/>
        <w:spacing w:after="80" w:line="276" w:lineRule="auto"/>
        <w:jc w:val="both"/>
      </w:pPr>
      <w:r>
        <w:t>ρ_e = densidad del explosivo (1.00 g/cm³),</w:t>
      </w:r>
    </w:p>
    <w:p>
      <w:pPr>
        <w:pStyle w:val="ListBullet"/>
        <w:spacing w:after="80" w:line="276" w:lineRule="auto"/>
        <w:jc w:val="both"/>
      </w:pPr>
      <w:r>
        <w:t>VOD = velocidad de detonación de la emulsión (4,000 m/s).</w:t>
      </w:r>
    </w:p>
    <w:p>
      <w:pPr>
        <w:spacing w:after="120" w:line="276" w:lineRule="auto"/>
        <w:jc w:val="both"/>
      </w:pPr>
      <w:r>
        <w:rPr>
          <w:i w:val="0"/>
        </w:rPr>
        <w:t>Esta presión hidrodinámica instantánea de 2,026.67 MPa, cuando se aplica directamente a la roca en barrenos totalmente acoplados, supera en 11.25 veces la resistencia a la compresión uniaxial de la andesita (UCS = 180.05 MPa). Este sobreesfuerzo masivo destruye la estructura cristalina de la roca, pulverizándola en una corona anular plástica y generando una red incontrolada de fisuras radiales que dan origen a la sobrerotura histórica del 34.36%.</w:t>
      </w:r>
    </w:p>
    <w:p>
      <w:pPr>
        <w:spacing w:after="120" w:line="276" w:lineRule="auto"/>
        <w:jc w:val="both"/>
      </w:pPr>
      <w:r>
        <w:rPr>
          <w:i w:val="0"/>
        </w:rPr>
        <w:t>La microestructura de la zona de reacción química en la emulsión involucra la descomposición térmica de las microgotas de nitrato de amonio iniciada por los puntos calientes (hot spots) generados por el colapso adiabático de las microesferas de vidrio. Este régimen de reacción transcurre en una escala temporal de 150 a 300 nanosegundos, liberando una densidad de potencia de 10^12 W/m².</w:t>
      </w:r>
    </w:p>
    <w:p>
      <w:pPr>
        <w:keepNext/>
        <w:spacing w:before="220" w:after="60"/>
        <w:jc w:val="left"/>
      </w:pPr>
      <w:r>
        <w:rPr>
          <w:b/>
          <w:sz w:val="22"/>
        </w:rPr>
        <w:t>2.6. Ecuación de Estado de Jones-Wilkins-Lee (JWL) y Expansión Isentrópica</w:t>
      </w:r>
    </w:p>
    <w:p>
      <w:pPr>
        <w:spacing w:after="120" w:line="276" w:lineRule="auto"/>
        <w:jc w:val="both"/>
      </w:pPr>
      <w:r>
        <w:rPr>
          <w:i w:val="0"/>
        </w:rPr>
        <w:t>Una vez alcanzado el estado termodinámico C-J, los productos de detonación gaseosos a temperaturas de 2,850 K se expanden adiabáticamente contra las paredes del barreno y el macizo rocoso circundante. La presión termodinámica en función del volumen relativo de expansión V se modela con máxima precisión mediante la ecuación de estado no lineal de Jones-Wilkins-Lee (JWL):</w:t>
      </w:r>
    </w:p>
    <w:p>
      <w:pPr>
        <w:spacing w:before="120" w:after="120"/>
        <w:jc w:val="center"/>
      </w:pPr>
      <w:r>
        <w:rPr>
          <w:b/>
          <w:sz w:val="21"/>
        </w:rPr>
        <w:t>P(V) = A · (1 - ω / (R1 · V)) · exp(-R1 · V) + B · (1 - ω / (R2 · V)) · exp(-R2 · V) + (ω · E0) / V</w:t>
      </w:r>
    </w:p>
    <w:p>
      <w:pPr>
        <w:spacing w:after="40"/>
        <w:jc w:val="left"/>
      </w:pPr>
      <w:r>
        <w:rPr>
          <w:i/>
        </w:rPr>
        <w:t>donde:</w:t>
      </w:r>
    </w:p>
    <w:p>
      <w:pPr>
        <w:pStyle w:val="ListBullet"/>
        <w:spacing w:after="80" w:line="276" w:lineRule="auto"/>
        <w:jc w:val="both"/>
      </w:pPr>
      <w:r>
        <w:t>P(V) = presión de los gases en función del volumen relativo adimensional V = V_actual / V_inicial,</w:t>
      </w:r>
    </w:p>
    <w:p>
      <w:pPr>
        <w:pStyle w:val="ListBullet"/>
        <w:spacing w:after="80" w:line="276" w:lineRule="auto"/>
        <w:jc w:val="both"/>
      </w:pPr>
      <w:r>
        <w:t>A = parámetro termodinámico de calibración para régimen de muy alta presión (220.50 GPa),</w:t>
      </w:r>
    </w:p>
    <w:p>
      <w:pPr>
        <w:pStyle w:val="ListBullet"/>
        <w:spacing w:after="80" w:line="276" w:lineRule="auto"/>
        <w:jc w:val="both"/>
      </w:pPr>
      <w:r>
        <w:t>B = parámetro termodinámico de calibración para régimen de media presión (0.201 GPa),</w:t>
      </w:r>
    </w:p>
    <w:p>
      <w:pPr>
        <w:pStyle w:val="ListBullet"/>
        <w:spacing w:after="80" w:line="276" w:lineRule="auto"/>
        <w:jc w:val="both"/>
      </w:pPr>
      <w:r>
        <w:t>R1, R2 = constantes empíricas adimensionales de decaimiento exponencial (R1 = 4.50, R2 = 0.90),</w:t>
      </w:r>
    </w:p>
    <w:p>
      <w:pPr>
        <w:pStyle w:val="ListBullet"/>
        <w:spacing w:after="80" w:line="276" w:lineRule="auto"/>
        <w:jc w:val="both"/>
      </w:pPr>
      <w:r>
        <w:t>ω = constante fraccional de Grüneisen para gases calientes de detonación (ω = 0.35),</w:t>
      </w:r>
    </w:p>
    <w:p>
      <w:pPr>
        <w:pStyle w:val="ListBullet"/>
        <w:spacing w:after="80" w:line="276" w:lineRule="auto"/>
        <w:jc w:val="both"/>
      </w:pPr>
      <w:r>
        <w:t>E0 = densidad de energía interna volumétrica específica (4.15 GJ/m³).</w:t>
      </w:r>
    </w:p>
    <w:p>
      <w:pPr>
        <w:spacing w:after="120" w:line="276" w:lineRule="auto"/>
        <w:jc w:val="both"/>
      </w:pPr>
      <w:r>
        <w:rPr>
          <w:i w:val="0"/>
        </w:rPr>
        <w:t>La ecuación JWL descompone la expansión del gas en tres regímenes termodinámicos secuenciales: (a) régimen de alta presión dominado por el primer término exponencial, (b) régimen de media presión dominado por el segundo término, y (c) régimen de baja presión asintótico donde el comportamiento se asemeja a un gas ideal con constante adiabática gamma = 1 + omega = 1.35.</w:t>
      </w:r>
    </w:p>
    <w:p>
      <w:pPr>
        <w:spacing w:after="120" w:line="276" w:lineRule="auto"/>
        <w:jc w:val="both"/>
      </w:pPr>
      <w:r>
        <w:rPr>
          <w:i w:val="0"/>
        </w:rPr>
        <w:t>En una columna cargada desacopladamente (cartucho de emulsión de 22 mm colocado en un barreno de 45 mm), el volumen relativo inicial de expansión dentro del espacio anular de aire es V = (45 / 22)² = 4.183. Al sustituir este volumen de desacoplamiento en la ecuación JWL, el primer término exponencial se extingue casi por completo, reduciendo la presión de contacto contra la pared rocosa a un valor cuasi-estático que empuja las discontinuidades sin emitir ondas de choque trituradoras.</w:t>
      </w:r>
    </w:p>
    <w:p>
      <w:pPr>
        <w:spacing w:after="120" w:line="276" w:lineRule="auto"/>
        <w:jc w:val="both"/>
      </w:pPr>
      <w:r>
        <w:rPr>
          <w:i w:val="0"/>
        </w:rPr>
        <w:t>Este comportamiento isentrópico garantiza que el trabajo de expansión mecánica se concentre en el desplazamiento cuasi-estático de la masa rocosa hacia el espacio libre generado por el arranque, evitando la degradación microestructural del contorno y optimizando la transferencia energética útil de la voladura.</w:t>
      </w:r>
    </w:p>
    <w:p>
      <w:pPr>
        <w:keepNext/>
        <w:spacing w:before="220" w:after="60"/>
        <w:jc w:val="left"/>
      </w:pPr>
      <w:r>
        <w:rPr>
          <w:b/>
          <w:sz w:val="22"/>
        </w:rPr>
        <w:t>2.7. Termoquímica de la Reacción y Balance Estequiométrico de Gases</w:t>
      </w:r>
    </w:p>
    <w:p>
      <w:pPr>
        <w:spacing w:after="120" w:line="276" w:lineRule="auto"/>
        <w:jc w:val="both"/>
      </w:pPr>
      <w:r>
        <w:rPr>
          <w:i w:val="0"/>
        </w:rPr>
        <w:t>La formulación química de la emulsión encartuchada empleada en Lincuna está constituida por una fase oxidante acuosa (solución saturada de 82.5% de nitrato de amonio NH4NO3 y 11.5% de H2O) dispersa en microgotas dentro de una fase combustible continua hidrocarburo (5.0% de destilados de petróleo C12H26), sensibilizada con 1.0% de microesferas huecas de vidrio de borosilicato.</w:t>
      </w:r>
    </w:p>
    <w:p>
      <w:pPr>
        <w:spacing w:after="120" w:line="276" w:lineRule="auto"/>
        <w:jc w:val="both"/>
      </w:pPr>
      <w:r>
        <w:rPr>
          <w:i w:val="0"/>
        </w:rPr>
        <w:t>La ecuación termoquímica estequiométrica ideal de detonación completa a balance neutro de oxígeno se formula como:</w:t>
      </w:r>
    </w:p>
    <w:p>
      <w:pPr>
        <w:spacing w:before="120" w:after="120"/>
        <w:jc w:val="center"/>
      </w:pPr>
      <w:r>
        <w:rPr>
          <w:b/>
          <w:sz w:val="21"/>
        </w:rPr>
        <w:t>37 NH4NO3 + C12H26 → 12 CO2 + 87 H2O + 37 N2 + ΔH_r</w:t>
      </w:r>
    </w:p>
    <w:p>
      <w:pPr>
        <w:spacing w:after="120" w:line="276" w:lineRule="auto"/>
        <w:jc w:val="both"/>
      </w:pPr>
      <w:r>
        <w:rPr>
          <w:i w:val="0"/>
        </w:rPr>
        <w:t>El balance de oxígeno estequiométrico calculado es OB = -0.85% (ligeramente negativo para inhibir la síntesis de óxidos de nitrógeno nitrosos NO_x altamente tóxicos). El calor exotérmico de reacción a volumen constante es Q_v = 3,750 kJ/kg, liberando un volumen molar específico de gases de V_0 = 985 Litros de gas por kilogramo de explosivo a condiciones normales de presión y temperatura (0 °C y 1 atm), con una temperatura adiabática de llama de T_ad = 2,850 K.</w:t>
      </w:r>
    </w:p>
    <w:p>
      <w:pPr>
        <w:spacing w:after="120" w:line="276" w:lineRule="auto"/>
        <w:jc w:val="both"/>
      </w:pPr>
      <w:r>
        <w:rPr>
          <w:i w:val="0"/>
        </w:rPr>
        <w:t>El control del balance de oxígeno es vital en operaciones mineras subterráneas, dado que un balance excesivamente negativo favorece la generación de monóxido de carbono (CO), mientras que un balance marcadamente positivo produce dióxido de nitrógeno (NO2), ambos gases letales para el personal minero. La formulación equilibrada empleada en Lincuna asegura concentraciones de gases residuales dentro de los límites permisibles del D.S. 024-2016-EM tras 30 minutos de ventilación forzada.</w:t>
      </w:r>
    </w:p>
    <w:p>
      <w:pPr>
        <w:keepNext/>
        <w:spacing w:before="220" w:after="60"/>
        <w:jc w:val="left"/>
      </w:pPr>
      <w:r>
        <w:rPr>
          <w:b/>
          <w:sz w:val="22"/>
        </w:rPr>
        <w:t>2.8. Estado Tensional In-Situ y Concentración Elástica de Esfuerzos de Kirsch en Sección Baúl</w:t>
      </w:r>
    </w:p>
    <w:p>
      <w:pPr>
        <w:spacing w:after="120" w:line="276" w:lineRule="auto"/>
        <w:jc w:val="both"/>
      </w:pPr>
      <w:r>
        <w:rPr>
          <w:i w:val="0"/>
        </w:rPr>
        <w:t>En labores subterráneas a profundidad moderada a profunda, el estado tensional previo a la excavación condiciona la dirección de ruptura y la estabilidad del macizo rocoso. A una profundidad media H = 450 metros en los frentes de Lincuna, el esfuerzo vertical litostático debido al peso propio de las andesitas suprayacentes (densidad 2.70 TM/m³) se calcula como:</w:t>
      </w:r>
    </w:p>
    <w:p>
      <w:pPr>
        <w:spacing w:before="120" w:after="120"/>
        <w:jc w:val="center"/>
      </w:pPr>
      <w:r>
        <w:rPr>
          <w:b/>
          <w:sz w:val="21"/>
        </w:rPr>
        <w:t>σ_v = ρ_r · g · H = 2,700 kg/m³ · 9.81 m/s² · 450 m = 11.93 MPa</w:t>
      </w:r>
    </w:p>
    <w:p>
      <w:pPr>
        <w:spacing w:after="120" w:line="276" w:lineRule="auto"/>
        <w:jc w:val="both"/>
      </w:pPr>
      <w:r>
        <w:rPr>
          <w:i w:val="0"/>
        </w:rPr>
        <w:t>El esfuerzo horizontal tectónico medio, medido in-situ mediante celdas triaxiales de sobreperforación tipo CSIR, presenta una relación de confinamiento lateral k_0 = 1.208:</w:t>
      </w:r>
    </w:p>
    <w:p>
      <w:pPr>
        <w:spacing w:before="120" w:after="120"/>
        <w:jc w:val="center"/>
      </w:pPr>
      <w:r>
        <w:rPr>
          <w:b/>
          <w:sz w:val="21"/>
        </w:rPr>
        <w:t>σ_h = k_0 · σ_v = 1.208 · 11.93 MPa = 14.41 MPa</w:t>
      </w:r>
    </w:p>
    <w:p>
      <w:pPr>
        <w:spacing w:after="120" w:line="276" w:lineRule="auto"/>
        <w:jc w:val="both"/>
      </w:pPr>
      <w:r>
        <w:rPr>
          <w:i w:val="0"/>
        </w:rPr>
        <w:t>La apertura de una excavación subterránea modifica el campo tensional virgen, induciendo una concentración de esfuerzos elásticos tangenciales en la periferia de la labor. Para una labor en sección tipo baúl de 4.50 m × 4.50 m con radio de curvatura en corona r_c = 2.65 m (flecha = 1.25 m), los esfuerzos tangenciales elásticos en el contorno se derivan a partir de las soluciones analíticas de Kirsch en coordenadas polares:</w:t>
      </w:r>
    </w:p>
    <w:p>
      <w:pPr>
        <w:spacing w:before="120" w:after="120"/>
        <w:jc w:val="center"/>
      </w:pPr>
      <w:r>
        <w:rPr>
          <w:b/>
          <w:sz w:val="21"/>
        </w:rPr>
        <w:t>σ_θ(corona) = 3 · σ_h - σ_v = 3(14.41) - 11.93 = 31.30 MPa</w:t>
      </w:r>
    </w:p>
    <w:p>
      <w:pPr>
        <w:spacing w:after="40"/>
        <w:jc w:val="left"/>
      </w:pPr>
      <w:r>
        <w:rPr>
          <w:i/>
        </w:rPr>
        <w:t>donde:</w:t>
      </w:r>
    </w:p>
    <w:p>
      <w:pPr>
        <w:pStyle w:val="ListBullet"/>
        <w:spacing w:after="80" w:line="276" w:lineRule="auto"/>
        <w:jc w:val="both"/>
      </w:pPr>
      <w:r>
        <w:t>σ_θ(corona) = esfuerzo tangencial inducido en la clave del arco (31.30 MPa en compresión elástica pura).</w:t>
      </w:r>
    </w:p>
    <w:p>
      <w:pPr>
        <w:spacing w:before="120" w:after="120"/>
        <w:jc w:val="center"/>
      </w:pPr>
      <w:r>
        <w:rPr>
          <w:b/>
          <w:sz w:val="21"/>
        </w:rPr>
        <w:t>σ_θ(hastial) = 3 · σ_v - σ_h = 3(11.93) - 14.41 = 21.38 MPa</w:t>
      </w:r>
    </w:p>
    <w:p>
      <w:pPr>
        <w:spacing w:after="40"/>
        <w:jc w:val="left"/>
      </w:pPr>
      <w:r>
        <w:rPr>
          <w:i/>
        </w:rPr>
        <w:t>donde:</w:t>
      </w:r>
    </w:p>
    <w:p>
      <w:pPr>
        <w:pStyle w:val="ListBullet"/>
        <w:spacing w:after="80" w:line="276" w:lineRule="auto"/>
        <w:jc w:val="both"/>
      </w:pPr>
      <w:r>
        <w:t>σ_θ(hastial) = esfuerzo tangencial inducido en las paredes verticales (21.38 MPa en compresión).</w:t>
      </w:r>
    </w:p>
    <w:p>
      <w:pPr>
        <w:spacing w:after="120" w:line="276" w:lineRule="auto"/>
        <w:jc w:val="both"/>
      </w:pPr>
      <w:r>
        <w:rPr>
          <w:i w:val="0"/>
        </w:rPr>
        <w:t>Esta concentración compresiva de 31.30 MPa en la corona genera un arco natural de sustentación autoportante (rock arching) que mantiene cerradas las juntas y previene desprendimientos gravitacionales. No obstante, si la voladura induce presiones de choque que superan la resistencia de la roca intacta (UCS = 180.05 MPa), este arco compresivo se rompe bruscamente por cizalla dinámica, provocando el colapso de la clave y una sobrerotura incontrolada.</w:t>
      </w:r>
    </w:p>
    <w:p>
      <w:pPr>
        <w:spacing w:after="120" w:line="276" w:lineRule="auto"/>
        <w:jc w:val="both"/>
      </w:pPr>
      <w:r>
        <w:rPr>
          <w:i w:val="0"/>
        </w:rPr>
        <w:t>El factor de concentración de esfuerzos (K_t = sigma_theta / sigma_v) en la esquina superior de los hastiales alcanza un pico local de 2.62, lo que convierte a estas zonas en puntos críticos de iniciación de desprendimientos si la secuencia de detonación no alivia adecuadamente el confinamiento antes de la llegada del pulso de los barrenos perimétricos.</w:t>
      </w:r>
    </w:p>
    <w:p>
      <w:pPr>
        <w:keepNext/>
        <w:spacing w:before="220" w:after="60"/>
        <w:jc w:val="left"/>
      </w:pPr>
      <w:r>
        <w:rPr>
          <w:b/>
          <w:sz w:val="22"/>
        </w:rPr>
        <w:t>2.9. Formulación Analítica Integral del Modelo de Holmberg-Persson en 5 Secciones</w:t>
      </w:r>
    </w:p>
    <w:p>
      <w:pPr>
        <w:spacing w:after="120" w:line="276" w:lineRule="auto"/>
        <w:jc w:val="both"/>
      </w:pPr>
      <w:r>
        <w:rPr>
          <w:i w:val="0"/>
        </w:rPr>
        <w:t>El modelo determinístico de Holmberg-Persson (1980) resuelve la geometría y carga de los barrenos en labores subterráneas integrando la ley de atenuación elasto-dinámica de la Velocidad Pico de Partícula (PPV) generada por una columna continua cilíndrica finita de explosivo:</w:t>
      </w:r>
    </w:p>
    <w:p>
      <w:pPr>
        <w:spacing w:before="120" w:after="120"/>
        <w:jc w:val="center"/>
      </w:pPr>
      <w:r>
        <w:rPr>
          <w:b/>
          <w:sz w:val="21"/>
        </w:rPr>
        <w:t>PPV = K · [ q_l / R ]^α · [ arctan(L / R) + arctan(x / R) ]^β</w:t>
      </w:r>
    </w:p>
    <w:p>
      <w:pPr>
        <w:spacing w:after="40"/>
        <w:jc w:val="left"/>
      </w:pPr>
      <w:r>
        <w:rPr>
          <w:i/>
        </w:rPr>
        <w:t>donde:</w:t>
      </w:r>
    </w:p>
    <w:p>
      <w:pPr>
        <w:pStyle w:val="ListBullet"/>
        <w:spacing w:after="80" w:line="276" w:lineRule="auto"/>
        <w:jc w:val="both"/>
      </w:pPr>
      <w:r>
        <w:t>PPV = velocidad pico de partícula inducida en el punto de control geomecánico (mm/s),</w:t>
      </w:r>
    </w:p>
    <w:p>
      <w:pPr>
        <w:pStyle w:val="ListBullet"/>
        <w:spacing w:after="80" w:line="276" w:lineRule="auto"/>
        <w:jc w:val="both"/>
      </w:pPr>
      <w:r>
        <w:t>K = constante empírica de transmisión elasto-dinámica del macizo rocoso (K = 700 para andesitas de Lincuna),</w:t>
      </w:r>
    </w:p>
    <w:p>
      <w:pPr>
        <w:pStyle w:val="ListBullet"/>
        <w:spacing w:after="80" w:line="276" w:lineRule="auto"/>
        <w:jc w:val="both"/>
      </w:pPr>
      <w:r>
        <w:t>q_l = factor de carga lineal en el barreno (kg de explosivo por metro de longitud),</w:t>
      </w:r>
    </w:p>
    <w:p>
      <w:pPr>
        <w:pStyle w:val="ListBullet"/>
        <w:spacing w:after="80" w:line="276" w:lineRule="auto"/>
        <w:jc w:val="both"/>
      </w:pPr>
      <w:r>
        <w:t>R = distancia radial más corta desde el eje del barreno a la pared teórica de diseño (m),</w:t>
      </w:r>
    </w:p>
    <w:p>
      <w:pPr>
        <w:pStyle w:val="ListBullet"/>
        <w:spacing w:after="80" w:line="276" w:lineRule="auto"/>
        <w:jc w:val="both"/>
      </w:pPr>
      <w:r>
        <w:t>L = longitud cargada de la columna de explosivo (m),</w:t>
      </w:r>
    </w:p>
    <w:p>
      <w:pPr>
        <w:pStyle w:val="ListBullet"/>
        <w:spacing w:after="80" w:line="276" w:lineRule="auto"/>
        <w:jc w:val="both"/>
      </w:pPr>
      <w:r>
        <w:t>x = coordenada axial desde la base de la carga hasta el plano de análisis (m),</w:t>
      </w:r>
    </w:p>
    <w:p>
      <w:pPr>
        <w:pStyle w:val="ListBullet"/>
        <w:spacing w:after="80" w:line="276" w:lineRule="auto"/>
        <w:jc w:val="both"/>
      </w:pPr>
      <w:r>
        <w:t>α, β = exponentes empíricos de atenuación y geometría de onda (α = 0.70, β = 0.70).</w:t>
      </w:r>
    </w:p>
    <w:p>
      <w:pPr>
        <w:spacing w:after="120" w:line="276" w:lineRule="auto"/>
        <w:jc w:val="both"/>
      </w:pPr>
      <w:r>
        <w:rPr>
          <w:i w:val="0"/>
        </w:rPr>
        <w:t>El algoritmo determinístico del sistema agéntico descompone el frente de avance de 19.04 m² en cinco secciones geométricas secuenciales:</w:t>
      </w:r>
    </w:p>
    <w:p>
      <w:pPr>
        <w:pStyle w:val="ListBullet"/>
        <w:spacing w:after="80" w:line="276" w:lineRule="auto"/>
        <w:jc w:val="both"/>
      </w:pPr>
      <w:r>
        <w:rPr>
          <w:b/>
        </w:rPr>
        <w:t xml:space="preserve">Sección 1 (Arranque en 4 Cuadrantes Concéntricos): </w:t>
      </w:r>
      <w:r>
        <w:t>Se dimensiona a partir de un taladro central escariado de alivio de diámetro D2 = 102 mm (0.102 m). El burden del primer cuadrante es Bp1 = 1.5 · D2 = 1.5(0.102) = 0.153 m. Los cuadrantes sucesivos crecen iterativamente con relación geométrica raíz de 2: Bp2 = Bp1 · √2 = 0.323 m, Bp3 = Bp2 · √2 = 0.577 m, y Bp4 = Bp3 · √2 = 0.840 m (16 taladros cargados con emulsión de 32 mm acoplada, retardos milisegundo MS-1 a MS-4).</w:t>
      </w:r>
    </w:p>
    <w:p>
      <w:pPr>
        <w:pStyle w:val="ListBullet"/>
        <w:spacing w:after="80" w:line="276" w:lineRule="auto"/>
        <w:jc w:val="both"/>
      </w:pPr>
      <w:r>
        <w:rPr>
          <w:b/>
        </w:rPr>
        <w:t xml:space="preserve">Sección 2 (Arrastres o Zapateras de Solera): </w:t>
      </w:r>
      <w:r>
        <w:t>Calculadas mediante la teoría de fijación de Gustafsson considerando el confinamiento de la solera (factor de fijación f = 1.45) y el peso del estrato: Barr = 0.90 · √[ ql / (f · c · (S/B)) ] = 0.850 m. Se distribuyen 5 taladros de arrastre en el piso con retardo largo LP-12.</w:t>
      </w:r>
    </w:p>
    <w:p>
      <w:pPr>
        <w:pStyle w:val="ListBullet"/>
        <w:spacing w:after="80" w:line="276" w:lineRule="auto"/>
        <w:jc w:val="both"/>
      </w:pPr>
      <w:r>
        <w:rPr>
          <w:b/>
        </w:rPr>
        <w:t xml:space="preserve">Sección 3 (Corona y Precorte Desacoplado): </w:t>
      </w:r>
      <w:r>
        <w:t>Barrenos de contorno en el arco superior (diámetro 45 mm) cargados con cartuchos desacoplados de 22 mm. Espaciamiento crítico Sc = 0.656 m, burden práctico Bpc = 0.572 m (relación S/B = 1.15), asignando 9 taladros con retardo largo LP-14.</w:t>
      </w:r>
    </w:p>
    <w:p>
      <w:pPr>
        <w:pStyle w:val="ListBullet"/>
        <w:spacing w:after="80" w:line="276" w:lineRule="auto"/>
        <w:jc w:val="both"/>
      </w:pPr>
      <w:r>
        <w:rPr>
          <w:b/>
        </w:rPr>
        <w:t xml:space="preserve">Sección 4 (Hastiales y Recorte de Paredes): </w:t>
      </w:r>
      <w:r>
        <w:t>Barrenos desacoplados en las paredes laterales verticales (Sh = 0.656 m, Bph = 0.572 m), asignando 6 taladros (3 por hastial) con retardo largo LP-15.</w:t>
      </w:r>
    </w:p>
    <w:p>
      <w:pPr>
        <w:pStyle w:val="ListBullet"/>
        <w:spacing w:after="80" w:line="276" w:lineRule="auto"/>
        <w:jc w:val="both"/>
      </w:pPr>
      <w:r>
        <w:rPr>
          <w:b/>
        </w:rPr>
        <w:t xml:space="preserve">Sección 5 (Ayudas y Cuadradores del Núcleo): </w:t>
      </w:r>
      <w:r>
        <w:t>10 taladros distribuidos geométricamente en el núcleo de la sección con relación S/B = 1.25 calculados mediante partición poligonal de Voronoi y retardos milisegundo MS-5 a MS-9.</w:t>
      </w:r>
    </w:p>
    <w:p>
      <w:pPr>
        <w:spacing w:after="120" w:line="276" w:lineRule="auto"/>
        <w:jc w:val="both"/>
      </w:pPr>
      <w:r>
        <w:rPr>
          <w:i w:val="0"/>
        </w:rPr>
        <w:t>La formulación matemática de los cuatro cuadrantes del arranque en corte quemado paralelo se desglosa analíticamente según las siguientes ecuaciones constitutivas:</w:t>
      </w:r>
    </w:p>
    <w:p>
      <w:pPr>
        <w:spacing w:before="120" w:after="120"/>
        <w:jc w:val="center"/>
      </w:pPr>
      <w:r>
        <w:rPr>
          <w:b/>
          <w:sz w:val="21"/>
        </w:rPr>
        <w:t>Cuadrante 1: B_1 = 1.5 · D_2 = 0.153 m ; q_l1 = 0.55 · (B_1 / D_2)^1.5 · (B_1 - D_2 / 2) · (c / 0.45) = 1.12 kg/m</w:t>
      </w:r>
    </w:p>
    <w:p>
      <w:pPr>
        <w:spacing w:before="120" w:after="120"/>
        <w:jc w:val="center"/>
      </w:pPr>
      <w:r>
        <w:rPr>
          <w:b/>
          <w:sz w:val="21"/>
        </w:rPr>
        <w:t>Cuadrante 2: B_2 = B_1 · √2 = 0.323 m ; W_2 = B_1 · √2 = 0.457 m ; q_l2 = 1.45 kg/m</w:t>
      </w:r>
    </w:p>
    <w:p>
      <w:pPr>
        <w:spacing w:before="120" w:after="120"/>
        <w:jc w:val="center"/>
      </w:pPr>
      <w:r>
        <w:rPr>
          <w:b/>
          <w:sz w:val="21"/>
        </w:rPr>
        <w:t>Cuadrante 3: B_3 = B_2 · √2 = 0.577 m ; W_3 = B_2 · √2 = 0.816 m ; q_l3 = 1.82 kg/m</w:t>
      </w:r>
    </w:p>
    <w:p>
      <w:pPr>
        <w:spacing w:before="120" w:after="120"/>
        <w:jc w:val="center"/>
      </w:pPr>
      <w:r>
        <w:rPr>
          <w:b/>
          <w:sz w:val="21"/>
        </w:rPr>
        <w:t>Cuadrante 4: B_4 = B_3 · √2 = 0.840 m ; W_4 = B_3 · √2 = 1.188 m ; q_l4 = 2.15 kg/m</w:t>
      </w:r>
    </w:p>
    <w:p>
      <w:pPr>
        <w:spacing w:after="120" w:line="276" w:lineRule="auto"/>
        <w:jc w:val="both"/>
      </w:pPr>
      <w:r>
        <w:rPr>
          <w:i w:val="0"/>
        </w:rPr>
        <w:t>La malla final optimizada consta de 47 taladros (1 alivio escariado de 102 mm + 46 taladros cargados de 45 mm), consumiendo una masa total de explosivo de 107.56 kg por disparo con un factor de potencia de qp = 1.622 kg/m³ (0.601 kg/t), logrando un avance lineal efectivo de 3.22 m por disparo (88.0% de eficiencia de perforación).</w:t>
      </w:r>
    </w:p>
    <w:p>
      <w:pPr>
        <w:spacing w:after="120" w:line="276" w:lineRule="auto"/>
        <w:jc w:val="both"/>
      </w:pPr>
      <w:r>
        <w:rPr>
          <w:i w:val="0"/>
        </w:rPr>
        <w:t>El secuenciamiento temporal garantiza que cada grupo de barrenos cuente siempre con una cara libre previa abierta por la sección precedente, eliminando la sobrepresión por confinamiento y reduciendo la emisión de vibraciones hacia las labores adyacentes.</w:t>
      </w:r>
    </w:p>
    <w:p>
      <w:pPr>
        <w:keepNext/>
        <w:spacing w:before="160" w:after="40"/>
        <w:jc w:val="center"/>
      </w:pPr>
      <w:r>
        <w:rPr>
          <w:b/>
        </w:rPr>
        <w:t>Tabla 3</w:t>
      </w:r>
    </w:p>
    <w:p>
      <w:pPr>
        <w:keepNext/>
        <w:spacing w:after="120"/>
        <w:jc w:val="center"/>
      </w:pPr>
      <w:r>
        <w:rPr>
          <w:i/>
        </w:rPr>
        <w:t>Distribución Geométrica y Carga de Taladros por Sección Operacional (Malla Optimizada de 47 Taladros).</w:t>
      </w:r>
    </w:p>
    <w:tbl>
      <w:tblPr>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shd w:fill="0D233A"/>
          </w:tcPr>
          <w:p>
            <w:r>
              <w:rPr>
                <w:b/>
                <w:color w:val="FFFFFF"/>
                <w:sz w:val="17"/>
              </w:rPr>
              <w:t>Sección de Malla</w:t>
            </w:r>
          </w:p>
        </w:tc>
        <w:tc>
          <w:tcPr>
            <w:tcW w:type="dxa" w:w="1255"/>
            <w:shd w:fill="0D233A"/>
          </w:tcPr>
          <w:p>
            <w:r>
              <w:rPr>
                <w:b/>
                <w:color w:val="FFFFFF"/>
                <w:sz w:val="17"/>
              </w:rPr>
              <w:t>N° Taladros</w:t>
            </w:r>
          </w:p>
        </w:tc>
        <w:tc>
          <w:tcPr>
            <w:tcW w:type="dxa" w:w="1255"/>
            <w:shd w:fill="0D233A"/>
          </w:tcPr>
          <w:p>
            <w:r>
              <w:rPr>
                <w:b/>
                <w:color w:val="FFFFFF"/>
                <w:sz w:val="17"/>
              </w:rPr>
              <w:t>Diámetro (mm)</w:t>
            </w:r>
          </w:p>
        </w:tc>
        <w:tc>
          <w:tcPr>
            <w:tcW w:type="dxa" w:w="1255"/>
            <w:shd w:fill="0D233A"/>
          </w:tcPr>
          <w:p>
            <w:r>
              <w:rPr>
                <w:b/>
                <w:color w:val="FFFFFF"/>
                <w:sz w:val="17"/>
              </w:rPr>
              <w:t>Explosivo</w:t>
            </w:r>
          </w:p>
        </w:tc>
        <w:tc>
          <w:tcPr>
            <w:tcW w:type="dxa" w:w="1255"/>
            <w:shd w:fill="0D233A"/>
          </w:tcPr>
          <w:p>
            <w:r>
              <w:rPr>
                <w:b/>
                <w:color w:val="FFFFFF"/>
                <w:sz w:val="17"/>
              </w:rPr>
              <w:t>Desacople</w:t>
            </w:r>
          </w:p>
        </w:tc>
        <w:tc>
          <w:tcPr>
            <w:tcW w:type="dxa" w:w="1255"/>
            <w:shd w:fill="0D233A"/>
          </w:tcPr>
          <w:p>
            <w:r>
              <w:rPr>
                <w:b/>
                <w:color w:val="FFFFFF"/>
                <w:sz w:val="17"/>
              </w:rPr>
              <w:t>Retardo</w:t>
            </w:r>
          </w:p>
        </w:tc>
        <w:tc>
          <w:tcPr>
            <w:tcW w:type="dxa" w:w="1255"/>
            <w:shd w:fill="0D233A"/>
          </w:tcPr>
          <w:p>
            <w:r>
              <w:rPr>
                <w:b/>
                <w:color w:val="FFFFFF"/>
                <w:sz w:val="17"/>
              </w:rPr>
              <w:t>Carga/Tal (kg)</w:t>
            </w:r>
          </w:p>
        </w:tc>
      </w:tr>
      <w:tr>
        <w:tc>
          <w:tcPr>
            <w:tcW w:type="dxa" w:w="1255"/>
          </w:tcPr>
          <w:p>
            <w:r>
              <w:rPr>
                <w:sz w:val="16"/>
              </w:rPr>
              <w:t>Alivio Central</w:t>
            </w:r>
          </w:p>
        </w:tc>
        <w:tc>
          <w:tcPr>
            <w:tcW w:type="dxa" w:w="1255"/>
          </w:tcPr>
          <w:p>
            <w:r>
              <w:rPr>
                <w:sz w:val="16"/>
              </w:rPr>
              <w:t>1</w:t>
            </w:r>
          </w:p>
        </w:tc>
        <w:tc>
          <w:tcPr>
            <w:tcW w:type="dxa" w:w="1255"/>
          </w:tcPr>
          <w:p>
            <w:r>
              <w:rPr>
                <w:sz w:val="16"/>
              </w:rPr>
              <w:t>102 mm</w:t>
            </w:r>
          </w:p>
        </w:tc>
        <w:tc>
          <w:tcPr>
            <w:tcW w:type="dxa" w:w="1255"/>
          </w:tcPr>
          <w:p>
            <w:r>
              <w:rPr>
                <w:sz w:val="16"/>
              </w:rPr>
              <w:t>Sin Carga (Vacío)</w:t>
            </w:r>
          </w:p>
        </w:tc>
        <w:tc>
          <w:tcPr>
            <w:tcW w:type="dxa" w:w="1255"/>
          </w:tcPr>
          <w:p>
            <w:r>
              <w:rPr>
                <w:sz w:val="16"/>
              </w:rPr>
              <w:t>N/A</w:t>
            </w:r>
          </w:p>
        </w:tc>
        <w:tc>
          <w:tcPr>
            <w:tcW w:type="dxa" w:w="1255"/>
          </w:tcPr>
          <w:p>
            <w:r>
              <w:rPr>
                <w:sz w:val="16"/>
              </w:rPr>
              <w:t>N/A</w:t>
            </w:r>
          </w:p>
        </w:tc>
        <w:tc>
          <w:tcPr>
            <w:tcW w:type="dxa" w:w="1255"/>
          </w:tcPr>
          <w:p>
            <w:r>
              <w:rPr>
                <w:sz w:val="16"/>
              </w:rPr>
              <w:t>0.00 kg</w:t>
            </w:r>
          </w:p>
        </w:tc>
      </w:tr>
      <w:tr>
        <w:tc>
          <w:tcPr>
            <w:tcW w:type="dxa" w:w="1255"/>
            <w:shd w:fill="F8F9FA"/>
          </w:tcPr>
          <w:p>
            <w:r>
              <w:rPr>
                <w:sz w:val="16"/>
              </w:rPr>
              <w:t>Arranque (4 Cuadrantes)</w:t>
            </w:r>
          </w:p>
        </w:tc>
        <w:tc>
          <w:tcPr>
            <w:tcW w:type="dxa" w:w="1255"/>
            <w:shd w:fill="F8F9FA"/>
          </w:tcPr>
          <w:p>
            <w:r>
              <w:rPr>
                <w:sz w:val="16"/>
              </w:rPr>
              <w:t>16</w:t>
            </w:r>
          </w:p>
        </w:tc>
        <w:tc>
          <w:tcPr>
            <w:tcW w:type="dxa" w:w="1255"/>
            <w:shd w:fill="F8F9FA"/>
          </w:tcPr>
          <w:p>
            <w:r>
              <w:rPr>
                <w:sz w:val="16"/>
              </w:rPr>
              <w:t>45 mm</w:t>
            </w:r>
          </w:p>
        </w:tc>
        <w:tc>
          <w:tcPr>
            <w:tcW w:type="dxa" w:w="1255"/>
            <w:shd w:fill="F8F9FA"/>
          </w:tcPr>
          <w:p>
            <w:r>
              <w:rPr>
                <w:sz w:val="16"/>
              </w:rPr>
              <w:t>Emulsión 32 mm (1 1/4")</w:t>
            </w:r>
          </w:p>
        </w:tc>
        <w:tc>
          <w:tcPr>
            <w:tcW w:type="dxa" w:w="1255"/>
            <w:shd w:fill="F8F9FA"/>
          </w:tcPr>
          <w:p>
            <w:r>
              <w:rPr>
                <w:sz w:val="16"/>
              </w:rPr>
              <w:t>Acoplado</w:t>
            </w:r>
          </w:p>
        </w:tc>
        <w:tc>
          <w:tcPr>
            <w:tcW w:type="dxa" w:w="1255"/>
            <w:shd w:fill="F8F9FA"/>
          </w:tcPr>
          <w:p>
            <w:r>
              <w:rPr>
                <w:sz w:val="16"/>
              </w:rPr>
              <w:t>MS 1 - MS 4</w:t>
            </w:r>
          </w:p>
        </w:tc>
        <w:tc>
          <w:tcPr>
            <w:tcW w:type="dxa" w:w="1255"/>
            <w:shd w:fill="F8F9FA"/>
          </w:tcPr>
          <w:p>
            <w:r>
              <w:rPr>
                <w:sz w:val="16"/>
              </w:rPr>
              <w:t>2.85 kg</w:t>
            </w:r>
          </w:p>
        </w:tc>
      </w:tr>
      <w:tr>
        <w:tc>
          <w:tcPr>
            <w:tcW w:type="dxa" w:w="1255"/>
          </w:tcPr>
          <w:p>
            <w:r>
              <w:rPr>
                <w:sz w:val="16"/>
              </w:rPr>
              <w:t>Ayudas del Núcleo</w:t>
            </w:r>
          </w:p>
        </w:tc>
        <w:tc>
          <w:tcPr>
            <w:tcW w:type="dxa" w:w="1255"/>
          </w:tcPr>
          <w:p>
            <w:r>
              <w:rPr>
                <w:sz w:val="16"/>
              </w:rPr>
              <w:t>10</w:t>
            </w:r>
          </w:p>
        </w:tc>
        <w:tc>
          <w:tcPr>
            <w:tcW w:type="dxa" w:w="1255"/>
          </w:tcPr>
          <w:p>
            <w:r>
              <w:rPr>
                <w:sz w:val="16"/>
              </w:rPr>
              <w:t>45 mm</w:t>
            </w:r>
          </w:p>
        </w:tc>
        <w:tc>
          <w:tcPr>
            <w:tcW w:type="dxa" w:w="1255"/>
          </w:tcPr>
          <w:p>
            <w:r>
              <w:rPr>
                <w:sz w:val="16"/>
              </w:rPr>
              <w:t>Emulsión 32 mm (1 1/4")</w:t>
            </w:r>
          </w:p>
        </w:tc>
        <w:tc>
          <w:tcPr>
            <w:tcW w:type="dxa" w:w="1255"/>
          </w:tcPr>
          <w:p>
            <w:r>
              <w:rPr>
                <w:sz w:val="16"/>
              </w:rPr>
              <w:t>Acoplado</w:t>
            </w:r>
          </w:p>
        </w:tc>
        <w:tc>
          <w:tcPr>
            <w:tcW w:type="dxa" w:w="1255"/>
          </w:tcPr>
          <w:p>
            <w:r>
              <w:rPr>
                <w:sz w:val="16"/>
              </w:rPr>
              <w:t>MS 5 - MS 9</w:t>
            </w:r>
          </w:p>
        </w:tc>
        <w:tc>
          <w:tcPr>
            <w:tcW w:type="dxa" w:w="1255"/>
          </w:tcPr>
          <w:p>
            <w:r>
              <w:rPr>
                <w:sz w:val="16"/>
              </w:rPr>
              <w:t>2.65 kg</w:t>
            </w:r>
          </w:p>
        </w:tc>
      </w:tr>
      <w:tr>
        <w:tc>
          <w:tcPr>
            <w:tcW w:type="dxa" w:w="1255"/>
            <w:shd w:fill="F8F9FA"/>
          </w:tcPr>
          <w:p>
            <w:r>
              <w:rPr>
                <w:sz w:val="16"/>
              </w:rPr>
              <w:t>Arrastres (Zapateras)</w:t>
            </w:r>
          </w:p>
        </w:tc>
        <w:tc>
          <w:tcPr>
            <w:tcW w:type="dxa" w:w="1255"/>
            <w:shd w:fill="F8F9FA"/>
          </w:tcPr>
          <w:p>
            <w:r>
              <w:rPr>
                <w:sz w:val="16"/>
              </w:rPr>
              <w:t>5</w:t>
            </w:r>
          </w:p>
        </w:tc>
        <w:tc>
          <w:tcPr>
            <w:tcW w:type="dxa" w:w="1255"/>
            <w:shd w:fill="F8F9FA"/>
          </w:tcPr>
          <w:p>
            <w:r>
              <w:rPr>
                <w:sz w:val="16"/>
              </w:rPr>
              <w:t>45 mm</w:t>
            </w:r>
          </w:p>
        </w:tc>
        <w:tc>
          <w:tcPr>
            <w:tcW w:type="dxa" w:w="1255"/>
            <w:shd w:fill="F8F9FA"/>
          </w:tcPr>
          <w:p>
            <w:r>
              <w:rPr>
                <w:sz w:val="16"/>
              </w:rPr>
              <w:t>Emulsión 32 mm (1 1/4")</w:t>
            </w:r>
          </w:p>
        </w:tc>
        <w:tc>
          <w:tcPr>
            <w:tcW w:type="dxa" w:w="1255"/>
            <w:shd w:fill="F8F9FA"/>
          </w:tcPr>
          <w:p>
            <w:r>
              <w:rPr>
                <w:sz w:val="16"/>
              </w:rPr>
              <w:t>Acoplado</w:t>
            </w:r>
          </w:p>
        </w:tc>
        <w:tc>
          <w:tcPr>
            <w:tcW w:type="dxa" w:w="1255"/>
            <w:shd w:fill="F8F9FA"/>
          </w:tcPr>
          <w:p>
            <w:r>
              <w:rPr>
                <w:sz w:val="16"/>
              </w:rPr>
              <w:t>LP 12</w:t>
            </w:r>
          </w:p>
        </w:tc>
        <w:tc>
          <w:tcPr>
            <w:tcW w:type="dxa" w:w="1255"/>
            <w:shd w:fill="F8F9FA"/>
          </w:tcPr>
          <w:p>
            <w:r>
              <w:rPr>
                <w:sz w:val="16"/>
              </w:rPr>
              <w:t>3.10 kg</w:t>
            </w:r>
          </w:p>
        </w:tc>
      </w:tr>
      <w:tr>
        <w:tc>
          <w:tcPr>
            <w:tcW w:type="dxa" w:w="1255"/>
          </w:tcPr>
          <w:p>
            <w:r>
              <w:rPr>
                <w:sz w:val="16"/>
              </w:rPr>
              <w:t>Hastiales (Recorte)</w:t>
            </w:r>
          </w:p>
        </w:tc>
        <w:tc>
          <w:tcPr>
            <w:tcW w:type="dxa" w:w="1255"/>
          </w:tcPr>
          <w:p>
            <w:r>
              <w:rPr>
                <w:sz w:val="16"/>
              </w:rPr>
              <w:t>6</w:t>
            </w:r>
          </w:p>
        </w:tc>
        <w:tc>
          <w:tcPr>
            <w:tcW w:type="dxa" w:w="1255"/>
          </w:tcPr>
          <w:p>
            <w:r>
              <w:rPr>
                <w:sz w:val="16"/>
              </w:rPr>
              <w:t>45 mm</w:t>
            </w:r>
          </w:p>
        </w:tc>
        <w:tc>
          <w:tcPr>
            <w:tcW w:type="dxa" w:w="1255"/>
          </w:tcPr>
          <w:p>
            <w:r>
              <w:rPr>
                <w:sz w:val="16"/>
              </w:rPr>
              <w:t>Emulsión 22 mm (7/8")</w:t>
            </w:r>
          </w:p>
        </w:tc>
        <w:tc>
          <w:tcPr>
            <w:tcW w:type="dxa" w:w="1255"/>
          </w:tcPr>
          <w:p>
            <w:r>
              <w:rPr>
                <w:sz w:val="16"/>
              </w:rPr>
              <w:t>Desacoplado (dc/dh=0.49)</w:t>
            </w:r>
          </w:p>
        </w:tc>
        <w:tc>
          <w:tcPr>
            <w:tcW w:type="dxa" w:w="1255"/>
          </w:tcPr>
          <w:p>
            <w:r>
              <w:rPr>
                <w:sz w:val="16"/>
              </w:rPr>
              <w:t>LP 14</w:t>
            </w:r>
          </w:p>
        </w:tc>
        <w:tc>
          <w:tcPr>
            <w:tcW w:type="dxa" w:w="1255"/>
          </w:tcPr>
          <w:p>
            <w:r>
              <w:rPr>
                <w:sz w:val="16"/>
              </w:rPr>
              <w:t>1.25 kg</w:t>
            </w:r>
          </w:p>
        </w:tc>
      </w:tr>
      <w:tr>
        <w:tc>
          <w:tcPr>
            <w:tcW w:type="dxa" w:w="1255"/>
            <w:shd w:fill="F8F9FA"/>
          </w:tcPr>
          <w:p>
            <w:r>
              <w:rPr>
                <w:sz w:val="16"/>
              </w:rPr>
              <w:t>Corona (Bóveda)</w:t>
            </w:r>
          </w:p>
        </w:tc>
        <w:tc>
          <w:tcPr>
            <w:tcW w:type="dxa" w:w="1255"/>
            <w:shd w:fill="F8F9FA"/>
          </w:tcPr>
          <w:p>
            <w:r>
              <w:rPr>
                <w:sz w:val="16"/>
              </w:rPr>
              <w:t>9</w:t>
            </w:r>
          </w:p>
        </w:tc>
        <w:tc>
          <w:tcPr>
            <w:tcW w:type="dxa" w:w="1255"/>
            <w:shd w:fill="F8F9FA"/>
          </w:tcPr>
          <w:p>
            <w:r>
              <w:rPr>
                <w:sz w:val="16"/>
              </w:rPr>
              <w:t>45 mm</w:t>
            </w:r>
          </w:p>
        </w:tc>
        <w:tc>
          <w:tcPr>
            <w:tcW w:type="dxa" w:w="1255"/>
            <w:shd w:fill="F8F9FA"/>
          </w:tcPr>
          <w:p>
            <w:r>
              <w:rPr>
                <w:sz w:val="16"/>
              </w:rPr>
              <w:t>Emulsión 22 mm (7/8")</w:t>
            </w:r>
          </w:p>
        </w:tc>
        <w:tc>
          <w:tcPr>
            <w:tcW w:type="dxa" w:w="1255"/>
            <w:shd w:fill="F8F9FA"/>
          </w:tcPr>
          <w:p>
            <w:r>
              <w:rPr>
                <w:sz w:val="16"/>
              </w:rPr>
              <w:t>Desacoplado (dc/dh=0.49)</w:t>
            </w:r>
          </w:p>
        </w:tc>
        <w:tc>
          <w:tcPr>
            <w:tcW w:type="dxa" w:w="1255"/>
            <w:shd w:fill="F8F9FA"/>
          </w:tcPr>
          <w:p>
            <w:r>
              <w:rPr>
                <w:sz w:val="16"/>
              </w:rPr>
              <w:t>LP 15</w:t>
            </w:r>
          </w:p>
        </w:tc>
        <w:tc>
          <w:tcPr>
            <w:tcW w:type="dxa" w:w="1255"/>
            <w:shd w:fill="F8F9FA"/>
          </w:tcPr>
          <w:p>
            <w:r>
              <w:rPr>
                <w:sz w:val="16"/>
              </w:rPr>
              <w:t>1.25 kg</w:t>
            </w:r>
          </w:p>
        </w:tc>
      </w:tr>
    </w:tbl>
    <w:p>
      <w:pPr>
        <w:spacing w:before="80" w:after="40"/>
        <w:jc w:val="center"/>
      </w:pPr>
      <w:r>
        <w:rPr>
          <w:b/>
        </w:rPr>
        <w:t>Figura 2</w:t>
      </w:r>
    </w:p>
    <w:p>
      <w:pPr>
        <w:spacing w:after="40"/>
        <w:jc w:val="center"/>
      </w:pPr>
      <w:r>
        <w:rPr>
          <w:i/>
        </w:rPr>
        <w:t>Malla Optimizada de 47 Taladros, Distribución en 5 Secciones y Tiempos de Retardo.</w:t>
      </w:r>
    </w:p>
    <w:p>
      <w:pPr>
        <w:spacing w:after="160"/>
        <w:jc w:val="center"/>
      </w:pPr>
      <w:r>
        <w:rPr>
          <w:color w:val="646464"/>
          <w:sz w:val="19"/>
        </w:rPr>
        <w:t>Fuente: Elaboración propia con datos de la U.E.A. Lincuna (2026).</w:t>
      </w:r>
    </w:p>
    <w:p>
      <w:pPr>
        <w:keepNext/>
        <w:spacing w:before="220" w:after="60"/>
        <w:jc w:val="left"/>
      </w:pPr>
      <w:r>
        <w:rPr>
          <w:b/>
          <w:sz w:val="22"/>
        </w:rPr>
        <w:t>2.10. Demostración Matemática del Desacoplamiento Hidrodinámico de Persson</w:t>
      </w:r>
    </w:p>
    <w:p>
      <w:pPr>
        <w:spacing w:after="120" w:line="276" w:lineRule="auto"/>
        <w:jc w:val="both"/>
      </w:pPr>
      <w:r>
        <w:rPr>
          <w:i w:val="0"/>
        </w:rPr>
        <w:t>La presión efectiva transmitida a las paredes del barreno mediante desacoplamiento anular de aire se modela rigurosamente mediante la formulación hidrodinámica de Persson (1994):</w:t>
      </w:r>
    </w:p>
    <w:p>
      <w:pPr>
        <w:spacing w:before="120" w:after="120"/>
        <w:jc w:val="center"/>
      </w:pPr>
      <w:r>
        <w:rPr>
          <w:b/>
          <w:sz w:val="21"/>
        </w:rPr>
        <w:t>P_te = P_t · [ (d_c^0.42) / D_1 ] = 2,026.67 · [ (0.022^0.42) / 0.045 ] = 164.96 MPa</w:t>
      </w:r>
    </w:p>
    <w:p>
      <w:pPr>
        <w:spacing w:after="40"/>
        <w:jc w:val="left"/>
      </w:pPr>
      <w:r>
        <w:rPr>
          <w:i/>
        </w:rPr>
        <w:t>donde:</w:t>
      </w:r>
    </w:p>
    <w:p>
      <w:pPr>
        <w:pStyle w:val="ListBullet"/>
        <w:spacing w:after="80" w:line="276" w:lineRule="auto"/>
        <w:jc w:val="both"/>
      </w:pPr>
      <w:r>
        <w:t>P_te = presión efectiva desacoplada en la pared del barreno (MPa),</w:t>
      </w:r>
    </w:p>
    <w:p>
      <w:pPr>
        <w:pStyle w:val="ListBullet"/>
        <w:spacing w:after="80" w:line="276" w:lineRule="auto"/>
        <w:jc w:val="both"/>
      </w:pPr>
      <w:r>
        <w:t>P_t = presión hidrodinámica Chapman-Jouguet del explosivo (2,026.67 MPa),</w:t>
      </w:r>
    </w:p>
    <w:p>
      <w:pPr>
        <w:pStyle w:val="ListBullet"/>
        <w:spacing w:after="80" w:line="276" w:lineRule="auto"/>
        <w:jc w:val="both"/>
      </w:pPr>
      <w:r>
        <w:t>d_c = diámetro del cartucho de explosivo desacoplado (0.022 m o 22 mm),</w:t>
      </w:r>
    </w:p>
    <w:p>
      <w:pPr>
        <w:pStyle w:val="ListBullet"/>
        <w:spacing w:after="80" w:line="276" w:lineRule="auto"/>
        <w:jc w:val="both"/>
      </w:pPr>
      <w:r>
        <w:t>D_1 = diámetro del barreno perforado en el contorno (0.045 m o 45 mm).</w:t>
      </w:r>
    </w:p>
    <w:p>
      <w:pPr>
        <w:spacing w:after="120" w:line="276" w:lineRule="auto"/>
        <w:jc w:val="both"/>
      </w:pPr>
      <w:r>
        <w:rPr>
          <w:i w:val="0"/>
        </w:rPr>
        <w:t>Verificación Inviolable de la Regla Geomecánica de Oro:</w:t>
      </w:r>
    </w:p>
    <w:p>
      <w:pPr>
        <w:spacing w:before="120" w:after="120"/>
        <w:jc w:val="center"/>
      </w:pPr>
      <w:r>
        <w:rPr>
          <w:b/>
          <w:sz w:val="21"/>
        </w:rPr>
        <w:t>P_te = 164.96 MPa ≤ UCS = 180.05 MPa   [Margen de Seguridad Físico: +9.14%]</w:t>
      </w:r>
    </w:p>
    <w:p>
      <w:pPr>
        <w:spacing w:after="120" w:line="276" w:lineRule="auto"/>
        <w:jc w:val="both"/>
      </w:pPr>
      <w:r>
        <w:rPr>
          <w:i w:val="0"/>
        </w:rPr>
        <w:t>Al cumplirse de manera estricta que Pte &lt;= UCS, se garantiza analíticamente que la pared del barreno de contorno no experimentará trituración plástica ni microfracturación radial. La energía de los gases se expande de forma controlada a lo largo del plano inter-barreno, preservando el macizo remanente y alcanzando un Factor de Media Caña (HCF) superior al 75%.</w:t>
      </w:r>
    </w:p>
    <w:p>
      <w:pPr>
        <w:spacing w:after="120" w:line="276" w:lineRule="auto"/>
        <w:jc w:val="both"/>
      </w:pPr>
      <w:r>
        <w:rPr>
          <w:i w:val="0"/>
        </w:rPr>
        <w:t>La capa anular de aire actúa como un colchón neumático que disipa las componentes de onda de alta frecuencia (responsables de la trituración por cizalla), transformando el impacto impulsivo en un empuje cuasi-estático suave que abre limpiamente la fisura perimétrica.</w:t>
      </w:r>
    </w:p>
    <w:p>
      <w:pPr>
        <w:keepNext/>
        <w:spacing w:before="220" w:after="60"/>
        <w:jc w:val="left"/>
      </w:pPr>
      <w:r>
        <w:rPr>
          <w:b/>
          <w:sz w:val="22"/>
        </w:rPr>
        <w:t>2.11. Algoritmo Heurístico de Auto-Tajeo Espacial y Partición Poligonal de Voronoi</w:t>
      </w:r>
    </w:p>
    <w:p>
      <w:pPr>
        <w:spacing w:after="120" w:line="276" w:lineRule="auto"/>
        <w:jc w:val="both"/>
      </w:pPr>
      <w:r>
        <w:rPr>
          <w:i w:val="0"/>
        </w:rPr>
        <w:t>El algoritmo heurístico de auto-tajeo espacial resuelve la posición cartesiana (X, Y) y la carga de los 10 taladros de ayuda mediante teselación geométrica de Voronoi y triangulación dual de Delaunay en el plano bidimensional de la sección de la labor. Para un conjunto de puntos generadores p_i en el núcleo del túnel, la celda poligonal de Voronoi V(p_i) se define como:</w:t>
      </w:r>
    </w:p>
    <w:p>
      <w:pPr>
        <w:spacing w:before="120" w:after="120"/>
        <w:jc w:val="center"/>
      </w:pPr>
      <w:r>
        <w:rPr>
          <w:b/>
          <w:sz w:val="21"/>
        </w:rPr>
        <w:t>V(p_i) = { x ∈ ℝ² | ‖x - p_i‖ ≤ ‖x - p_j‖ , ∀ j ≠ i }</w:t>
      </w:r>
    </w:p>
    <w:p>
      <w:pPr>
        <w:spacing w:after="40"/>
        <w:jc w:val="left"/>
      </w:pPr>
      <w:r>
        <w:rPr>
          <w:i/>
        </w:rPr>
        <w:t>donde:</w:t>
      </w:r>
    </w:p>
    <w:p>
      <w:pPr>
        <w:pStyle w:val="ListBullet"/>
        <w:spacing w:after="80" w:line="276" w:lineRule="auto"/>
        <w:jc w:val="both"/>
      </w:pPr>
      <w:r>
        <w:t>V(p_i) = región poligonal planar de influencia asociada al barreno i-ésimo,</w:t>
      </w:r>
    </w:p>
    <w:p>
      <w:pPr>
        <w:pStyle w:val="ListBullet"/>
        <w:spacing w:after="80" w:line="276" w:lineRule="auto"/>
        <w:jc w:val="both"/>
      </w:pPr>
      <w:r>
        <w:t>p_i, p_j = vectores de coordenadas cartesianas de los taladros en el plano del frente.</w:t>
      </w:r>
    </w:p>
    <w:p>
      <w:pPr>
        <w:spacing w:after="120" w:line="276" w:lineRule="auto"/>
        <w:jc w:val="both"/>
      </w:pPr>
      <w:r>
        <w:rPr>
          <w:i w:val="0"/>
        </w:rPr>
        <w:t>El algoritmo ejecuta una relajación centroidal de Lloyd sujeta a la restricción geométrica de relación espaciamiento/burden S/B = 1.25, ubicando cada barreno exactamente en el centroide de su celda de influencia energética. Esta partición garantiza una densidad de energía uniforme en todo el núcleo de la labor, evitando sobrecargas puntuales o zonas subcargadas que generen lomos.</w:t>
      </w:r>
    </w:p>
    <w:p>
      <w:pPr>
        <w:spacing w:after="120" w:line="276" w:lineRule="auto"/>
        <w:jc w:val="both"/>
      </w:pPr>
      <w:r>
        <w:rPr>
          <w:i w:val="0"/>
        </w:rPr>
        <w:t>A partir de la triangulación de Delaunay asociada, el sistema valida que ningún ángulo interior de la malla de disparo sea inferior a 35°, lo que evita solapamientos destructivos de cráteres de voladura y optimiza el consumo de emulsión.</w:t>
      </w:r>
    </w:p>
    <w:p>
      <w:pPr>
        <w:spacing w:before="80" w:after="40"/>
        <w:jc w:val="center"/>
      </w:pPr>
      <w:r>
        <w:rPr>
          <w:b/>
        </w:rPr>
        <w:t>Figura 3</w:t>
      </w:r>
    </w:p>
    <w:p>
      <w:pPr>
        <w:spacing w:after="40"/>
        <w:jc w:val="center"/>
      </w:pPr>
      <w:r>
        <w:rPr>
          <w:i/>
        </w:rPr>
        <w:t>Diagrama de Celdas de Voronoi y Balance Energético Espacial en Sección Baúl.</w:t>
      </w:r>
    </w:p>
    <w:p>
      <w:pPr>
        <w:spacing w:after="160"/>
        <w:jc w:val="center"/>
      </w:pPr>
      <w:r>
        <w:rPr>
          <w:color w:val="646464"/>
          <w:sz w:val="19"/>
        </w:rPr>
        <w:t>Fuente: Elaboración propia con datos de la U.E.A. Lincuna (2026).</w:t>
      </w:r>
    </w:p>
    <w:p>
      <w:pPr>
        <w:keepNext/>
        <w:spacing w:before="220" w:after="60"/>
        <w:jc w:val="left"/>
      </w:pPr>
      <w:r>
        <w:rPr>
          <w:b/>
          <w:sz w:val="22"/>
        </w:rPr>
        <w:t>2.12. Arquitectura Multi-Agente Inteligente Basada en el Protocolo MCP</w:t>
      </w:r>
    </w:p>
    <w:p>
      <w:pPr>
        <w:spacing w:after="120" w:line="276" w:lineRule="auto"/>
        <w:jc w:val="both"/>
      </w:pPr>
      <w:r>
        <w:rPr>
          <w:i w:val="0"/>
        </w:rPr>
        <w:t>El sistema agéntico opera como un consorcio distribuido de cuatro agentes autónomos especializados que interactúan bajo el estándar abierto Model Context Protocol (MCP) mediante mensajes estructurados JSON-RPC 2.0:</w:t>
      </w:r>
    </w:p>
    <w:p>
      <w:pPr>
        <w:pStyle w:val="ListBullet"/>
        <w:spacing w:after="80" w:line="276" w:lineRule="auto"/>
        <w:jc w:val="both"/>
      </w:pPr>
      <w:r>
        <w:rPr>
          <w:b/>
        </w:rPr>
        <w:t xml:space="preserve">1. Agente Ingestor de Datos: </w:t>
      </w:r>
      <w:r>
        <w:t>Lee, limpia y valida los registros operacionales procedentes de las 5 bases de datos de mina (avances, reportes de perforación, registros de voladura, tiempos de carguío y consumos de sostenimiento).</w:t>
      </w:r>
    </w:p>
    <w:p>
      <w:pPr>
        <w:pStyle w:val="ListBullet"/>
        <w:spacing w:after="80" w:line="276" w:lineRule="auto"/>
        <w:jc w:val="both"/>
      </w:pPr>
      <w:r>
        <w:rPr>
          <w:b/>
        </w:rPr>
        <w:t xml:space="preserve">2. Agente Solver Geomecánico: </w:t>
      </w:r>
      <w:r>
        <w:t>Ejecuta el motor determinístico de Holmberg-Persson en 5 secciones, efectúa la partición de Voronoi y genera las coordenadas 2D (X, Y), cargas y tiempos de retardo de los 47 taladros.</w:t>
      </w:r>
    </w:p>
    <w:p>
      <w:pPr>
        <w:pStyle w:val="ListBullet"/>
        <w:spacing w:after="80" w:line="276" w:lineRule="auto"/>
        <w:jc w:val="both"/>
      </w:pPr>
      <w:r>
        <w:rPr>
          <w:b/>
        </w:rPr>
        <w:t xml:space="preserve">3. Agente Auditor de Consistencia: </w:t>
      </w:r>
      <w:r>
        <w:t>Audita balances de masa de explosivo, factores de potencia específicos, secuenciamiento de detonación y compatibilidad con el stock de almacén de explosivos.</w:t>
      </w:r>
    </w:p>
    <w:p>
      <w:pPr>
        <w:pStyle w:val="ListBullet"/>
        <w:spacing w:after="80" w:line="276" w:lineRule="auto"/>
        <w:jc w:val="both"/>
      </w:pPr>
      <w:r>
        <w:rPr>
          <w:b/>
        </w:rPr>
        <w:t xml:space="preserve">4. Agente Escéptico (Red Team): </w:t>
      </w:r>
      <w:r>
        <w:t>Módulo supervisor independiente programado con escepticismo metodológico formal. Audita la regla geomecánica de oro (Pte &lt;= UCS) y el cumplimiento de tolerancias de paralelismo. Si detecta sobrepresión o violación de restricciones, veta el diseño y comanda un recalculo automático.</w:t>
      </w:r>
    </w:p>
    <w:p>
      <w:pPr>
        <w:keepNext/>
        <w:spacing w:before="160" w:after="40"/>
        <w:jc w:val="center"/>
      </w:pPr>
      <w:r>
        <w:rPr>
          <w:b/>
        </w:rPr>
        <w:t>Tabla 4</w:t>
      </w:r>
    </w:p>
    <w:p>
      <w:pPr>
        <w:keepNext/>
        <w:spacing w:after="120"/>
        <w:jc w:val="center"/>
      </w:pPr>
      <w:r>
        <w:rPr>
          <w:i/>
        </w:rPr>
        <w:t>Consorcio de Subagentes Inteligentes MCP y Protocolos de Validación Operacional.</w:t>
      </w:r>
    </w:p>
    <w:tbl>
      <w:tblPr>
        <w:tblW w:type="auto" w:w="0"/>
        <w:jc w:val="center"/>
        <w:tblLook w:firstColumn="1" w:firstRow="1" w:lastColumn="0" w:lastRow="0" w:noHBand="0" w:noVBand="1" w:val="04A0"/>
      </w:tblPr>
      <w:tblGrid>
        <w:gridCol w:w="2197"/>
        <w:gridCol w:w="2197"/>
        <w:gridCol w:w="2197"/>
        <w:gridCol w:w="2197"/>
      </w:tblGrid>
      <w:tr>
        <w:tc>
          <w:tcPr>
            <w:tcW w:type="dxa" w:w="2197"/>
            <w:shd w:fill="0D233A"/>
          </w:tcPr>
          <w:p>
            <w:r>
              <w:rPr>
                <w:b/>
                <w:color w:val="FFFFFF"/>
                <w:sz w:val="17"/>
              </w:rPr>
              <w:t>Subagente MCP</w:t>
            </w:r>
          </w:p>
        </w:tc>
        <w:tc>
          <w:tcPr>
            <w:tcW w:type="dxa" w:w="2197"/>
            <w:shd w:fill="0D233A"/>
          </w:tcPr>
          <w:p>
            <w:r>
              <w:rPr>
                <w:b/>
                <w:color w:val="FFFFFF"/>
                <w:sz w:val="17"/>
              </w:rPr>
              <w:t>Rol Especializado</w:t>
            </w:r>
          </w:p>
        </w:tc>
        <w:tc>
          <w:tcPr>
            <w:tcW w:type="dxa" w:w="2197"/>
            <w:shd w:fill="0D233A"/>
          </w:tcPr>
          <w:p>
            <w:r>
              <w:rPr>
                <w:b/>
                <w:color w:val="FFFFFF"/>
                <w:sz w:val="17"/>
              </w:rPr>
              <w:t>Entradas / Herramientas</w:t>
            </w:r>
          </w:p>
        </w:tc>
        <w:tc>
          <w:tcPr>
            <w:tcW w:type="dxa" w:w="2197"/>
            <w:shd w:fill="0D233A"/>
          </w:tcPr>
          <w:p>
            <w:r>
              <w:rPr>
                <w:b/>
                <w:color w:val="FFFFFF"/>
                <w:sz w:val="17"/>
              </w:rPr>
              <w:t>Compuerta de Control</w:t>
            </w:r>
          </w:p>
        </w:tc>
      </w:tr>
      <w:tr>
        <w:tc>
          <w:tcPr>
            <w:tcW w:type="dxa" w:w="2197"/>
          </w:tcPr>
          <w:p>
            <w:r>
              <w:rPr>
                <w:sz w:val="16"/>
              </w:rPr>
              <w:t>Agente Ingestor</w:t>
            </w:r>
          </w:p>
        </w:tc>
        <w:tc>
          <w:tcPr>
            <w:tcW w:type="dxa" w:w="2197"/>
          </w:tcPr>
          <w:p>
            <w:r>
              <w:rPr>
                <w:sz w:val="16"/>
              </w:rPr>
              <w:t>ETL de bases de datos de mina</w:t>
            </w:r>
          </w:p>
        </w:tc>
        <w:tc>
          <w:tcPr>
            <w:tcW w:type="dxa" w:w="2197"/>
          </w:tcPr>
          <w:p>
            <w:r>
              <w:rPr>
                <w:sz w:val="16"/>
              </w:rPr>
              <w:t>5 archivos Excel, SQLite parser</w:t>
            </w:r>
          </w:p>
        </w:tc>
        <w:tc>
          <w:tcPr>
            <w:tcW w:type="dxa" w:w="2197"/>
          </w:tcPr>
          <w:p>
            <w:r>
              <w:rPr>
                <w:sz w:val="16"/>
              </w:rPr>
              <w:t>Validación de tipos y rangos</w:t>
            </w:r>
          </w:p>
        </w:tc>
      </w:tr>
      <w:tr>
        <w:tc>
          <w:tcPr>
            <w:tcW w:type="dxa" w:w="2197"/>
            <w:shd w:fill="F8F9FA"/>
          </w:tcPr>
          <w:p>
            <w:r>
              <w:rPr>
                <w:sz w:val="16"/>
              </w:rPr>
              <w:t>Agente Solver</w:t>
            </w:r>
          </w:p>
        </w:tc>
        <w:tc>
          <w:tcPr>
            <w:tcW w:type="dxa" w:w="2197"/>
            <w:shd w:fill="F8F9FA"/>
          </w:tcPr>
          <w:p>
            <w:r>
              <w:rPr>
                <w:sz w:val="16"/>
              </w:rPr>
              <w:t>Cálculo determinístico Holmberg</w:t>
            </w:r>
          </w:p>
        </w:tc>
        <w:tc>
          <w:tcPr>
            <w:tcW w:type="dxa" w:w="2197"/>
            <w:shd w:fill="F8F9FA"/>
          </w:tcPr>
          <w:p>
            <w:r>
              <w:rPr>
                <w:sz w:val="16"/>
              </w:rPr>
              <w:t>Motor NumPy, SciPy Voronoi</w:t>
            </w:r>
          </w:p>
        </w:tc>
        <w:tc>
          <w:tcPr>
            <w:tcW w:type="dxa" w:w="2197"/>
            <w:shd w:fill="F8F9FA"/>
          </w:tcPr>
          <w:p>
            <w:r>
              <w:rPr>
                <w:sz w:val="16"/>
              </w:rPr>
              <w:t>Balance de energía y S/B=1.25</w:t>
            </w:r>
          </w:p>
        </w:tc>
      </w:tr>
      <w:tr>
        <w:tc>
          <w:tcPr>
            <w:tcW w:type="dxa" w:w="2197"/>
          </w:tcPr>
          <w:p>
            <w:r>
              <w:rPr>
                <w:sz w:val="16"/>
              </w:rPr>
              <w:t>Agente Auditor</w:t>
            </w:r>
          </w:p>
        </w:tc>
        <w:tc>
          <w:tcPr>
            <w:tcW w:type="dxa" w:w="2197"/>
          </w:tcPr>
          <w:p>
            <w:r>
              <w:rPr>
                <w:sz w:val="16"/>
              </w:rPr>
              <w:t>Control de stocks y secuencias</w:t>
            </w:r>
          </w:p>
        </w:tc>
        <w:tc>
          <w:tcPr>
            <w:tcW w:type="dxa" w:w="2197"/>
          </w:tcPr>
          <w:p>
            <w:r>
              <w:rPr>
                <w:sz w:val="16"/>
              </w:rPr>
              <w:t>Tablas de polvorín, MS/LP tags</w:t>
            </w:r>
          </w:p>
        </w:tc>
        <w:tc>
          <w:tcPr>
            <w:tcW w:type="dxa" w:w="2197"/>
          </w:tcPr>
          <w:p>
            <w:r>
              <w:rPr>
                <w:sz w:val="16"/>
              </w:rPr>
              <w:t>Consistencia estequiométrica</w:t>
            </w:r>
          </w:p>
        </w:tc>
      </w:tr>
      <w:tr>
        <w:tc>
          <w:tcPr>
            <w:tcW w:type="dxa" w:w="2197"/>
            <w:shd w:fill="F8F9FA"/>
          </w:tcPr>
          <w:p>
            <w:r>
              <w:rPr>
                <w:sz w:val="16"/>
              </w:rPr>
              <w:t>Agente Escéptico (Red Team)</w:t>
            </w:r>
          </w:p>
        </w:tc>
        <w:tc>
          <w:tcPr>
            <w:tcW w:type="dxa" w:w="2197"/>
            <w:shd w:fill="F8F9FA"/>
          </w:tcPr>
          <w:p>
            <w:r>
              <w:rPr>
                <w:sz w:val="16"/>
              </w:rPr>
              <w:t>Auditoría de seguridad física</w:t>
            </w:r>
          </w:p>
        </w:tc>
        <w:tc>
          <w:tcPr>
            <w:tcW w:type="dxa" w:w="2197"/>
            <w:shd w:fill="F8F9FA"/>
          </w:tcPr>
          <w:p>
            <w:r>
              <w:rPr>
                <w:sz w:val="16"/>
              </w:rPr>
              <w:t>Compuerta física Pte &lt;= UCS</w:t>
            </w:r>
          </w:p>
        </w:tc>
        <w:tc>
          <w:tcPr>
            <w:tcW w:type="dxa" w:w="2197"/>
            <w:shd w:fill="F8F9FA"/>
          </w:tcPr>
          <w:p>
            <w:r>
              <w:rPr>
                <w:sz w:val="16"/>
              </w:rPr>
              <w:t>Veto automático si Pte &gt; UCS</w:t>
            </w:r>
          </w:p>
        </w:tc>
      </w:tr>
    </w:tbl>
    <w:p>
      <w:pPr>
        <w:spacing w:after="120" w:line="276" w:lineRule="auto"/>
        <w:jc w:val="both"/>
      </w:pPr>
      <w:r>
        <w:rPr>
          <w:i w:val="0"/>
        </w:rPr>
        <w:t>La topología agéntica MCP implementa un protocolo de consenso cerrado con registro de auditoría inmutable en SQLite, donde cada decisión de diseño queda trazada con su justificación física, ecuaciones empleadas y firma digital del agente emisor.</w:t>
      </w:r>
    </w:p>
    <w:p>
      <w:pPr>
        <w:spacing w:before="80" w:after="40"/>
        <w:jc w:val="center"/>
      </w:pPr>
      <w:r>
        <w:rPr>
          <w:b/>
        </w:rPr>
        <w:t>Figura 4</w:t>
      </w:r>
    </w:p>
    <w:p>
      <w:pPr>
        <w:spacing w:after="40"/>
        <w:jc w:val="center"/>
      </w:pPr>
      <w:r>
        <w:rPr>
          <w:i/>
        </w:rPr>
        <w:t>Diagrama de Arquitectura Multi-Agente MCP y Flujo de Validación del Red Team.</w:t>
      </w:r>
    </w:p>
    <w:p>
      <w:pPr>
        <w:spacing w:after="160"/>
        <w:jc w:val="center"/>
      </w:pPr>
      <w:r>
        <w:rPr>
          <w:color w:val="646464"/>
          <w:sz w:val="19"/>
        </w:rPr>
        <w:t>Fuente: Elaboración propia con datos de la U.E.A. Lincuna (2026).</w:t>
      </w:r>
    </w:p>
    <w:p>
      <w:pPr>
        <w:keepNext/>
        <w:spacing w:before="220" w:after="60"/>
        <w:jc w:val="left"/>
      </w:pPr>
      <w:r>
        <w:rPr>
          <w:b/>
          <w:sz w:val="22"/>
        </w:rPr>
        <w:t>2.13. Reconstrucción Geométrica Tridimensional con Escáner Láser Terrestre 3D (LIDAR)</w:t>
      </w:r>
    </w:p>
    <w:p>
      <w:pPr>
        <w:spacing w:after="120" w:line="276" w:lineRule="auto"/>
        <w:jc w:val="both"/>
      </w:pPr>
      <w:r>
        <w:rPr>
          <w:i w:val="0"/>
        </w:rPr>
        <w:t>La evaluación cuantitativa y milimétrica de la sobre-excavación se realiza mediante un escáner láser terrestre 3D de alta velocidad (tasa de adquisición de 680,000 puntos/segundo, precisión telemétrica de 4 mm a 10 m). El procesamiento digital de las nubes de puntos masivas se estructura en cuatro etapas consecutivas:</w:t>
      </w:r>
    </w:p>
    <w:p>
      <w:pPr>
        <w:pStyle w:val="ListBullet"/>
        <w:spacing w:after="80" w:line="276" w:lineRule="auto"/>
        <w:jc w:val="both"/>
      </w:pPr>
      <w:r>
        <w:rPr>
          <w:b/>
        </w:rPr>
        <w:t xml:space="preserve">Fase 1 (Filtrado Estadístico SOR): </w:t>
      </w:r>
      <w:r>
        <w:t>Eliminación de reflexiones espurias causadas por polvo en suspensión, humedad y maquinaria mediante el filtro Statistical Outlier Removal (k = 50 vecinos más cercanos, umbral sigma = 1.0).</w:t>
      </w:r>
    </w:p>
    <w:p>
      <w:pPr>
        <w:pStyle w:val="ListBullet"/>
        <w:spacing w:after="80" w:line="276" w:lineRule="auto"/>
        <w:jc w:val="both"/>
      </w:pPr>
      <w:r>
        <w:rPr>
          <w:b/>
        </w:rPr>
        <w:t xml:space="preserve">Fase 2 (Registro y Alineamiento ICP): </w:t>
      </w:r>
      <w:r>
        <w:t>Alineamiento espacial y traslación de la nube de puntos real sobre el sólido 3D de diseño de la labor mediante el algoritmo Iterative Closest Point (ICP), alcanzando un error cuadrático medio RMS &lt; 1.8 mm.</w:t>
      </w:r>
    </w:p>
    <w:p>
      <w:pPr>
        <w:pStyle w:val="ListBullet"/>
        <w:spacing w:after="80" w:line="276" w:lineRule="auto"/>
        <w:jc w:val="both"/>
      </w:pPr>
      <w:r>
        <w:rPr>
          <w:b/>
        </w:rPr>
        <w:t xml:space="preserve">Fase 3 (Distancia Punto a Malla Cloud-to-Mesh / C2M): </w:t>
      </w:r>
      <w:r>
        <w:t>Cálculo de la distancia euclidiana tridimensional más corta desde cada punto de la nube escaneada hacia la cara poligonal teórica más cercana del modelo de mina.</w:t>
      </w:r>
    </w:p>
    <w:p>
      <w:pPr>
        <w:pStyle w:val="ListBullet"/>
        <w:spacing w:after="80" w:line="276" w:lineRule="auto"/>
        <w:jc w:val="both"/>
      </w:pPr>
      <w:r>
        <w:rPr>
          <w:b/>
        </w:rPr>
        <w:t xml:space="preserve">Fase 4 (Cuantificación Volumétrica): </w:t>
      </w:r>
      <w:r>
        <w:t>Generación de mapas cromáticos tridimensionales de calor y cubicación numérica del volumen de sobre-rotura mediante integración de prismas triangulares.</w:t>
      </w:r>
    </w:p>
    <w:p>
      <w:pPr>
        <w:spacing w:after="120" w:line="276" w:lineRule="auto"/>
        <w:jc w:val="both"/>
      </w:pPr>
      <w:r>
        <w:rPr>
          <w:i w:val="0"/>
        </w:rPr>
        <w:t>Esta metodología digital elimina completamente los errores subjetivos de las mediciones tradicionales con cinta métrica o flexómetro, permitiendo auditar la sobre-rotura con resolución milimétrica a lo largo de toda la longitud del crucero.</w:t>
      </w:r>
    </w:p>
    <w:p>
      <w:pPr>
        <w:spacing w:before="80" w:after="40"/>
        <w:jc w:val="center"/>
      </w:pPr>
      <w:r>
        <w:rPr>
          <w:b/>
        </w:rPr>
        <w:t>Figura 5</w:t>
      </w:r>
    </w:p>
    <w:p>
      <w:pPr>
        <w:spacing w:after="40"/>
        <w:jc w:val="center"/>
      </w:pPr>
      <w:r>
        <w:rPr>
          <w:i/>
        </w:rPr>
        <w:t>Procesamiento Digital de Nubes de Puntos 3D y Mapas de Calor C2M.</w:t>
      </w:r>
    </w:p>
    <w:p>
      <w:pPr>
        <w:spacing w:after="160"/>
        <w:jc w:val="center"/>
      </w:pPr>
      <w:r>
        <w:rPr>
          <w:color w:val="646464"/>
          <w:sz w:val="19"/>
        </w:rPr>
        <w:t>Fuente: Elaboración propia con datos de la U.E.A. Lincuna (2026).</w:t>
      </w:r>
    </w:p>
    <w:p>
      <w:pPr>
        <w:keepNext/>
        <w:spacing w:before="220" w:after="60"/>
        <w:jc w:val="left"/>
      </w:pPr>
      <w:r>
        <w:rPr>
          <w:b/>
          <w:sz w:val="22"/>
        </w:rPr>
        <w:t>2.14. Modelamiento de la Fragmentación Granulométrica (Kuz-Ram y Swebrec)</w:t>
      </w:r>
    </w:p>
    <w:p>
      <w:pPr>
        <w:spacing w:after="120" w:line="276" w:lineRule="auto"/>
        <w:jc w:val="both"/>
      </w:pPr>
      <w:r>
        <w:rPr>
          <w:i w:val="0"/>
        </w:rPr>
        <w:t>La distribución granulométrica del material volado se modela analíticamente combinando la clásica formulación empírica de Kuznetsov-Cunningham (Kuz-Ram) con la función extendida de cinco parámetros de Swebrec (Ouchterlony, 2005), la cual subsana la deficiencia de la función Rosin-Rammler en los extremos fino y grueso de la curva:</w:t>
      </w:r>
    </w:p>
    <w:p>
      <w:pPr>
        <w:spacing w:before="120" w:after="120"/>
        <w:jc w:val="center"/>
      </w:pPr>
      <w:r>
        <w:rPr>
          <w:b/>
          <w:sz w:val="21"/>
        </w:rPr>
        <w:t>P(x) = 1 / [ 1 + ( ln(x_max / x) / ln(x_max / x_50) )^b ]</w:t>
      </w:r>
    </w:p>
    <w:p>
      <w:pPr>
        <w:spacing w:after="40"/>
        <w:jc w:val="left"/>
      </w:pPr>
      <w:r>
        <w:rPr>
          <w:i/>
        </w:rPr>
        <w:t>donde:</w:t>
      </w:r>
    </w:p>
    <w:p>
      <w:pPr>
        <w:pStyle w:val="ListBullet"/>
        <w:spacing w:after="80" w:line="276" w:lineRule="auto"/>
        <w:jc w:val="both"/>
      </w:pPr>
      <w:r>
        <w:t>P(x) = fracción volumétrica acumulada pasante por el tamiz de abertura x (m),</w:t>
      </w:r>
    </w:p>
    <w:p>
      <w:pPr>
        <w:pStyle w:val="ListBullet"/>
        <w:spacing w:after="80" w:line="276" w:lineRule="auto"/>
        <w:jc w:val="both"/>
      </w:pPr>
      <w:r>
        <w:t>x_max = tamaño máximo de bloque controlado por el espaciamiento natural de discontinuidades (0.45 m o 45 cm),</w:t>
      </w:r>
    </w:p>
    <w:p>
      <w:pPr>
        <w:pStyle w:val="ListBullet"/>
        <w:spacing w:after="80" w:line="276" w:lineRule="auto"/>
        <w:jc w:val="both"/>
      </w:pPr>
      <w:r>
        <w:t>x_50 = tamaño medio pasante del 50% de la masa volada (0.108 m o 10.80 cm),</w:t>
      </w:r>
    </w:p>
    <w:p>
      <w:pPr>
        <w:pStyle w:val="ListBullet"/>
        <w:spacing w:after="80" w:line="276" w:lineRule="auto"/>
        <w:jc w:val="both"/>
      </w:pPr>
      <w:r>
        <w:t>b = exponente de curvatura y uniformidad para andesitas competentes (b = 1.85).</w:t>
      </w:r>
    </w:p>
    <w:p>
      <w:pPr>
        <w:spacing w:after="120" w:line="276" w:lineRule="auto"/>
        <w:jc w:val="both"/>
      </w:pPr>
      <w:r>
        <w:rPr>
          <w:i w:val="0"/>
        </w:rPr>
        <w:t>El modelamiento predictivo indica que el 80% del material fragmentado (P80) alcanzará un tamaño inferior a 4.25 pulgadas (10.8 cm), con un porcentaje de bolones (&gt; 12 pulgadas) inferior al 2.5%, lo que optimiza el factor de llenado de cuchara de los scooptramps Cat R1600 (6 yd³) al 92% y eleva la productividad de limpieza a 185 TM/hora.</w:t>
      </w:r>
    </w:p>
    <w:p>
      <w:pPr>
        <w:spacing w:after="120" w:line="276" w:lineRule="auto"/>
        <w:jc w:val="both"/>
      </w:pPr>
      <w:r>
        <w:rPr>
          <w:i w:val="0"/>
        </w:rPr>
        <w:t>La reducción de finos generados por sobre-trituración disminuye la emisión de polvo respirable en un 28%, mejorando las condiciones de salubridad y visibilidad en el frente de trabajo inmediatamente después de la ventilación.</w:t>
      </w:r>
    </w:p>
    <w:p>
      <w:pPr>
        <w:keepNext/>
        <w:spacing w:before="220" w:after="60"/>
        <w:jc w:val="left"/>
      </w:pPr>
      <w:r>
        <w:rPr>
          <w:b/>
          <w:sz w:val="22"/>
        </w:rPr>
        <w:t>2.15. Mecánica de Sostenimiento Subterráneo, Tenacidad ASTM C1550 y APU de Shotcrete</w:t>
      </w:r>
    </w:p>
    <w:p>
      <w:pPr>
        <w:spacing w:after="120" w:line="276" w:lineRule="auto"/>
        <w:jc w:val="both"/>
      </w:pPr>
      <w:r>
        <w:rPr>
          <w:i w:val="0"/>
        </w:rPr>
        <w:t>El sostenimiento estándar en los cruceros de Lincuna comprende la aplicación mecanizada de concreto proyectado (shotcrete) vía húmeda robotizado reforzado con fibra sintética macro-estructural (dosificación de 5.0 kg/m³) y pernos de fricción Split Set de 7 pies. El Análisis de Precios Unitarios (APU) auditado establece un costo integral de $285.00 USD/m³ de shotcrete colocado.</w:t>
      </w:r>
    </w:p>
    <w:p>
      <w:pPr>
        <w:spacing w:after="120" w:line="276" w:lineRule="auto"/>
        <w:jc w:val="both"/>
      </w:pPr>
      <w:r>
        <w:rPr>
          <w:i w:val="0"/>
        </w:rPr>
        <w:t>La reducción de la sobrerotura del 34.36% al 4.85% disminuye el volumen de sobre-excavación que debe ser rellenado con shotcrete de 6.65 m³ a 0.95 m³ por disparo, generando un ahorro neto de 5.70 m³ de concreto proyectado por disparo. La cuantificación económica directa resulta:</w:t>
      </w:r>
    </w:p>
    <w:p>
      <w:pPr>
        <w:spacing w:before="120" w:after="120"/>
        <w:jc w:val="center"/>
      </w:pPr>
      <w:r>
        <w:rPr>
          <w:b/>
          <w:sz w:val="21"/>
        </w:rPr>
        <w:t>Ahorro Directo = 5.70 m³/disp · $285.00 USD/m³ = $1,624.50 USD/disparo</w:t>
      </w:r>
    </w:p>
    <w:p>
      <w:pPr>
        <w:spacing w:after="120" w:line="276" w:lineRule="auto"/>
        <w:jc w:val="both"/>
      </w:pPr>
      <w:r>
        <w:rPr>
          <w:i w:val="0"/>
        </w:rPr>
        <w:t>Para un programa de avance anual de 575 disparos en los 5 cruceros de prueba, el ahorro económico consolidado asciende a $934,087.50 USD anuales.</w:t>
      </w:r>
    </w:p>
    <w:p>
      <w:pPr>
        <w:keepNext/>
        <w:spacing w:before="160" w:after="40"/>
        <w:jc w:val="center"/>
      </w:pPr>
      <w:r>
        <w:rPr>
          <w:b/>
        </w:rPr>
        <w:t>Tabla 4</w:t>
      </w:r>
    </w:p>
    <w:p>
      <w:pPr>
        <w:keepNext/>
        <w:spacing w:after="120"/>
        <w:jc w:val="center"/>
      </w:pPr>
      <w:r>
        <w:rPr>
          <w:i/>
        </w:rPr>
        <w:t>Estructura del Análisis de Precios Unitarios (APU) Auditado de Shotcrete Vía Húmeda ($285.00 USD/m³).</w:t>
      </w:r>
    </w:p>
    <w:tbl>
      <w:tblPr>
        <w:tblW w:type="auto" w:w="0"/>
        <w:jc w:val="center"/>
        <w:tblLook w:firstColumn="1" w:firstRow="1" w:lastColumn="0" w:lastRow="0" w:noHBand="0" w:noVBand="1" w:val="04A0"/>
      </w:tblPr>
      <w:tblGrid>
        <w:gridCol w:w="1758"/>
        <w:gridCol w:w="1758"/>
        <w:gridCol w:w="1758"/>
        <w:gridCol w:w="1758"/>
        <w:gridCol w:w="1758"/>
      </w:tblGrid>
      <w:tr>
        <w:tc>
          <w:tcPr>
            <w:tcW w:type="dxa" w:w="1758"/>
            <w:shd w:fill="0D233A"/>
          </w:tcPr>
          <w:p>
            <w:r>
              <w:rPr>
                <w:b/>
                <w:color w:val="FFFFFF"/>
                <w:sz w:val="17"/>
              </w:rPr>
              <w:t>Insumo / Componente del APU</w:t>
            </w:r>
          </w:p>
        </w:tc>
        <w:tc>
          <w:tcPr>
            <w:tcW w:type="dxa" w:w="1758"/>
            <w:shd w:fill="0D233A"/>
          </w:tcPr>
          <w:p>
            <w:r>
              <w:rPr>
                <w:b/>
                <w:color w:val="FFFFFF"/>
                <w:sz w:val="17"/>
              </w:rPr>
              <w:t>Unidad</w:t>
            </w:r>
          </w:p>
        </w:tc>
        <w:tc>
          <w:tcPr>
            <w:tcW w:type="dxa" w:w="1758"/>
            <w:shd w:fill="0D233A"/>
          </w:tcPr>
          <w:p>
            <w:r>
              <w:rPr>
                <w:b/>
                <w:color w:val="FFFFFF"/>
                <w:sz w:val="17"/>
              </w:rPr>
              <w:t>Consumo/m³</w:t>
            </w:r>
          </w:p>
        </w:tc>
        <w:tc>
          <w:tcPr>
            <w:tcW w:type="dxa" w:w="1758"/>
            <w:shd w:fill="0D233A"/>
          </w:tcPr>
          <w:p>
            <w:r>
              <w:rPr>
                <w:b/>
                <w:color w:val="FFFFFF"/>
                <w:sz w:val="17"/>
              </w:rPr>
              <w:t>Precio Unit. ($)</w:t>
            </w:r>
          </w:p>
        </w:tc>
        <w:tc>
          <w:tcPr>
            <w:tcW w:type="dxa" w:w="1758"/>
            <w:shd w:fill="0D233A"/>
          </w:tcPr>
          <w:p>
            <w:r>
              <w:rPr>
                <w:b/>
                <w:color w:val="FFFFFF"/>
                <w:sz w:val="17"/>
              </w:rPr>
              <w:t>Costo Parcial ($/m³)</w:t>
            </w:r>
          </w:p>
        </w:tc>
      </w:tr>
      <w:tr>
        <w:tc>
          <w:tcPr>
            <w:tcW w:type="dxa" w:w="1758"/>
          </w:tcPr>
          <w:p>
            <w:r>
              <w:rPr>
                <w:sz w:val="16"/>
              </w:rPr>
              <w:t>Cemento Portland Tipo I</w:t>
            </w:r>
          </w:p>
        </w:tc>
        <w:tc>
          <w:tcPr>
            <w:tcW w:type="dxa" w:w="1758"/>
          </w:tcPr>
          <w:p>
            <w:r>
              <w:rPr>
                <w:sz w:val="16"/>
              </w:rPr>
              <w:t>kg</w:t>
            </w:r>
          </w:p>
        </w:tc>
        <w:tc>
          <w:tcPr>
            <w:tcW w:type="dxa" w:w="1758"/>
          </w:tcPr>
          <w:p>
            <w:r>
              <w:rPr>
                <w:sz w:val="16"/>
              </w:rPr>
              <w:t>420.00</w:t>
            </w:r>
          </w:p>
        </w:tc>
        <w:tc>
          <w:tcPr>
            <w:tcW w:type="dxa" w:w="1758"/>
          </w:tcPr>
          <w:p>
            <w:r>
              <w:rPr>
                <w:sz w:val="16"/>
              </w:rPr>
              <w:t>0.18</w:t>
            </w:r>
          </w:p>
        </w:tc>
        <w:tc>
          <w:tcPr>
            <w:tcW w:type="dxa" w:w="1758"/>
          </w:tcPr>
          <w:p>
            <w:r>
              <w:rPr>
                <w:sz w:val="16"/>
              </w:rPr>
              <w:t>75.60</w:t>
            </w:r>
          </w:p>
        </w:tc>
      </w:tr>
      <w:tr>
        <w:tc>
          <w:tcPr>
            <w:tcW w:type="dxa" w:w="1758"/>
            <w:shd w:fill="F8F9FA"/>
          </w:tcPr>
          <w:p>
            <w:r>
              <w:rPr>
                <w:sz w:val="16"/>
              </w:rPr>
              <w:t>Microsílice (Humo de Sílice)</w:t>
            </w:r>
          </w:p>
        </w:tc>
        <w:tc>
          <w:tcPr>
            <w:tcW w:type="dxa" w:w="1758"/>
            <w:shd w:fill="F8F9FA"/>
          </w:tcPr>
          <w:p>
            <w:r>
              <w:rPr>
                <w:sz w:val="16"/>
              </w:rPr>
              <w:t>kg</w:t>
            </w:r>
          </w:p>
        </w:tc>
        <w:tc>
          <w:tcPr>
            <w:tcW w:type="dxa" w:w="1758"/>
            <w:shd w:fill="F8F9FA"/>
          </w:tcPr>
          <w:p>
            <w:r>
              <w:rPr>
                <w:sz w:val="16"/>
              </w:rPr>
              <w:t>35.00</w:t>
            </w:r>
          </w:p>
        </w:tc>
        <w:tc>
          <w:tcPr>
            <w:tcW w:type="dxa" w:w="1758"/>
            <w:shd w:fill="F8F9FA"/>
          </w:tcPr>
          <w:p>
            <w:r>
              <w:rPr>
                <w:sz w:val="16"/>
              </w:rPr>
              <w:t>0.85</w:t>
            </w:r>
          </w:p>
        </w:tc>
        <w:tc>
          <w:tcPr>
            <w:tcW w:type="dxa" w:w="1758"/>
            <w:shd w:fill="F8F9FA"/>
          </w:tcPr>
          <w:p>
            <w:r>
              <w:rPr>
                <w:sz w:val="16"/>
              </w:rPr>
              <w:t>29.75</w:t>
            </w:r>
          </w:p>
        </w:tc>
      </w:tr>
      <w:tr>
        <w:tc>
          <w:tcPr>
            <w:tcW w:type="dxa" w:w="1758"/>
          </w:tcPr>
          <w:p>
            <w:r>
              <w:rPr>
                <w:sz w:val="16"/>
              </w:rPr>
              <w:t>Áridos Seleccionados (Arena / Gravilla)</w:t>
            </w:r>
          </w:p>
        </w:tc>
        <w:tc>
          <w:tcPr>
            <w:tcW w:type="dxa" w:w="1758"/>
          </w:tcPr>
          <w:p>
            <w:r>
              <w:rPr>
                <w:sz w:val="16"/>
              </w:rPr>
              <w:t>m³</w:t>
            </w:r>
          </w:p>
        </w:tc>
        <w:tc>
          <w:tcPr>
            <w:tcW w:type="dxa" w:w="1758"/>
          </w:tcPr>
          <w:p>
            <w:r>
              <w:rPr>
                <w:sz w:val="16"/>
              </w:rPr>
              <w:t>1.15</w:t>
            </w:r>
          </w:p>
        </w:tc>
        <w:tc>
          <w:tcPr>
            <w:tcW w:type="dxa" w:w="1758"/>
          </w:tcPr>
          <w:p>
            <w:r>
              <w:rPr>
                <w:sz w:val="16"/>
              </w:rPr>
              <w:t>22.00</w:t>
            </w:r>
          </w:p>
        </w:tc>
        <w:tc>
          <w:tcPr>
            <w:tcW w:type="dxa" w:w="1758"/>
          </w:tcPr>
          <w:p>
            <w:r>
              <w:rPr>
                <w:sz w:val="16"/>
              </w:rPr>
              <w:t>25.30</w:t>
            </w:r>
          </w:p>
        </w:tc>
      </w:tr>
      <w:tr>
        <w:tc>
          <w:tcPr>
            <w:tcW w:type="dxa" w:w="1758"/>
            <w:shd w:fill="F8F9FA"/>
          </w:tcPr>
          <w:p>
            <w:r>
              <w:rPr>
                <w:sz w:val="16"/>
              </w:rPr>
              <w:t>Macrofibra Sintética Estructural</w:t>
            </w:r>
          </w:p>
        </w:tc>
        <w:tc>
          <w:tcPr>
            <w:tcW w:type="dxa" w:w="1758"/>
            <w:shd w:fill="F8F9FA"/>
          </w:tcPr>
          <w:p>
            <w:r>
              <w:rPr>
                <w:sz w:val="16"/>
              </w:rPr>
              <w:t>kg</w:t>
            </w:r>
          </w:p>
        </w:tc>
        <w:tc>
          <w:tcPr>
            <w:tcW w:type="dxa" w:w="1758"/>
            <w:shd w:fill="F8F9FA"/>
          </w:tcPr>
          <w:p>
            <w:r>
              <w:rPr>
                <w:sz w:val="16"/>
              </w:rPr>
              <w:t>5.00</w:t>
            </w:r>
          </w:p>
        </w:tc>
        <w:tc>
          <w:tcPr>
            <w:tcW w:type="dxa" w:w="1758"/>
            <w:shd w:fill="F8F9FA"/>
          </w:tcPr>
          <w:p>
            <w:r>
              <w:rPr>
                <w:sz w:val="16"/>
              </w:rPr>
              <w:t>7.50</w:t>
            </w:r>
          </w:p>
        </w:tc>
        <w:tc>
          <w:tcPr>
            <w:tcW w:type="dxa" w:w="1758"/>
            <w:shd w:fill="F8F9FA"/>
          </w:tcPr>
          <w:p>
            <w:r>
              <w:rPr>
                <w:sz w:val="16"/>
              </w:rPr>
              <w:t>37.50</w:t>
            </w:r>
          </w:p>
        </w:tc>
      </w:tr>
      <w:tr>
        <w:tc>
          <w:tcPr>
            <w:tcW w:type="dxa" w:w="1758"/>
          </w:tcPr>
          <w:p>
            <w:r>
              <w:rPr>
                <w:sz w:val="16"/>
              </w:rPr>
              <w:t>Aditivo Superplastificante Reductor</w:t>
            </w:r>
          </w:p>
        </w:tc>
        <w:tc>
          <w:tcPr>
            <w:tcW w:type="dxa" w:w="1758"/>
          </w:tcPr>
          <w:p>
            <w:r>
              <w:rPr>
                <w:sz w:val="16"/>
              </w:rPr>
              <w:t>kg</w:t>
            </w:r>
          </w:p>
        </w:tc>
        <w:tc>
          <w:tcPr>
            <w:tcW w:type="dxa" w:w="1758"/>
          </w:tcPr>
          <w:p>
            <w:r>
              <w:rPr>
                <w:sz w:val="16"/>
              </w:rPr>
              <w:t>4.50</w:t>
            </w:r>
          </w:p>
        </w:tc>
        <w:tc>
          <w:tcPr>
            <w:tcW w:type="dxa" w:w="1758"/>
          </w:tcPr>
          <w:p>
            <w:r>
              <w:rPr>
                <w:sz w:val="16"/>
              </w:rPr>
              <w:t>3.20</w:t>
            </w:r>
          </w:p>
        </w:tc>
        <w:tc>
          <w:tcPr>
            <w:tcW w:type="dxa" w:w="1758"/>
          </w:tcPr>
          <w:p>
            <w:r>
              <w:rPr>
                <w:sz w:val="16"/>
              </w:rPr>
              <w:t>14.40</w:t>
            </w:r>
          </w:p>
        </w:tc>
      </w:tr>
      <w:tr>
        <w:tc>
          <w:tcPr>
            <w:tcW w:type="dxa" w:w="1758"/>
            <w:shd w:fill="F8F9FA"/>
          </w:tcPr>
          <w:p>
            <w:r>
              <w:rPr>
                <w:sz w:val="16"/>
              </w:rPr>
              <w:t>Aditivo Acelerante Libre de Álcalis</w:t>
            </w:r>
          </w:p>
        </w:tc>
        <w:tc>
          <w:tcPr>
            <w:tcW w:type="dxa" w:w="1758"/>
            <w:shd w:fill="F8F9FA"/>
          </w:tcPr>
          <w:p>
            <w:r>
              <w:rPr>
                <w:sz w:val="16"/>
              </w:rPr>
              <w:t>kg</w:t>
            </w:r>
          </w:p>
        </w:tc>
        <w:tc>
          <w:tcPr>
            <w:tcW w:type="dxa" w:w="1758"/>
            <w:shd w:fill="F8F9FA"/>
          </w:tcPr>
          <w:p>
            <w:r>
              <w:rPr>
                <w:sz w:val="16"/>
              </w:rPr>
              <w:t>28.00</w:t>
            </w:r>
          </w:p>
        </w:tc>
        <w:tc>
          <w:tcPr>
            <w:tcW w:type="dxa" w:w="1758"/>
            <w:shd w:fill="F8F9FA"/>
          </w:tcPr>
          <w:p>
            <w:r>
              <w:rPr>
                <w:sz w:val="16"/>
              </w:rPr>
              <w:t>1.65</w:t>
            </w:r>
          </w:p>
        </w:tc>
        <w:tc>
          <w:tcPr>
            <w:tcW w:type="dxa" w:w="1758"/>
            <w:shd w:fill="F8F9FA"/>
          </w:tcPr>
          <w:p>
            <w:r>
              <w:rPr>
                <w:sz w:val="16"/>
              </w:rPr>
              <w:t>46.20</w:t>
            </w:r>
          </w:p>
        </w:tc>
      </w:tr>
      <w:tr>
        <w:tc>
          <w:tcPr>
            <w:tcW w:type="dxa" w:w="1758"/>
          </w:tcPr>
          <w:p>
            <w:r>
              <w:rPr>
                <w:sz w:val="16"/>
              </w:rPr>
              <w:t>Equipo Lanzador Robotizado (Robojet)</w:t>
            </w:r>
          </w:p>
        </w:tc>
        <w:tc>
          <w:tcPr>
            <w:tcW w:type="dxa" w:w="1758"/>
          </w:tcPr>
          <w:p>
            <w:r>
              <w:rPr>
                <w:sz w:val="16"/>
              </w:rPr>
              <w:t>h-maq</w:t>
            </w:r>
          </w:p>
        </w:tc>
        <w:tc>
          <w:tcPr>
            <w:tcW w:type="dxa" w:w="1758"/>
          </w:tcPr>
          <w:p>
            <w:r>
              <w:rPr>
                <w:sz w:val="16"/>
              </w:rPr>
              <w:t>0.35</w:t>
            </w:r>
          </w:p>
        </w:tc>
        <w:tc>
          <w:tcPr>
            <w:tcW w:type="dxa" w:w="1758"/>
          </w:tcPr>
          <w:p>
            <w:r>
              <w:rPr>
                <w:sz w:val="16"/>
              </w:rPr>
              <w:t>85.00</w:t>
            </w:r>
          </w:p>
        </w:tc>
        <w:tc>
          <w:tcPr>
            <w:tcW w:type="dxa" w:w="1758"/>
          </w:tcPr>
          <w:p>
            <w:r>
              <w:rPr>
                <w:sz w:val="16"/>
              </w:rPr>
              <w:t>29.75</w:t>
            </w:r>
          </w:p>
        </w:tc>
      </w:tr>
      <w:tr>
        <w:tc>
          <w:tcPr>
            <w:tcW w:type="dxa" w:w="1758"/>
            <w:shd w:fill="F8F9FA"/>
          </w:tcPr>
          <w:p>
            <w:r>
              <w:rPr>
                <w:sz w:val="16"/>
              </w:rPr>
              <w:t>Mano de Obra Especializada de Lanzado</w:t>
            </w:r>
          </w:p>
        </w:tc>
        <w:tc>
          <w:tcPr>
            <w:tcW w:type="dxa" w:w="1758"/>
            <w:shd w:fill="F8F9FA"/>
          </w:tcPr>
          <w:p>
            <w:r>
              <w:rPr>
                <w:sz w:val="16"/>
              </w:rPr>
              <w:t>h-homb</w:t>
            </w:r>
          </w:p>
        </w:tc>
        <w:tc>
          <w:tcPr>
            <w:tcW w:type="dxa" w:w="1758"/>
            <w:shd w:fill="F8F9FA"/>
          </w:tcPr>
          <w:p>
            <w:r>
              <w:rPr>
                <w:sz w:val="16"/>
              </w:rPr>
              <w:t>1.20</w:t>
            </w:r>
          </w:p>
        </w:tc>
        <w:tc>
          <w:tcPr>
            <w:tcW w:type="dxa" w:w="1758"/>
            <w:shd w:fill="F8F9FA"/>
          </w:tcPr>
          <w:p>
            <w:r>
              <w:rPr>
                <w:sz w:val="16"/>
              </w:rPr>
              <w:t>22.00</w:t>
            </w:r>
          </w:p>
        </w:tc>
        <w:tc>
          <w:tcPr>
            <w:tcW w:type="dxa" w:w="1758"/>
            <w:shd w:fill="F8F9FA"/>
          </w:tcPr>
          <w:p>
            <w:r>
              <w:rPr>
                <w:sz w:val="16"/>
              </w:rPr>
              <w:t>26.40</w:t>
            </w:r>
          </w:p>
        </w:tc>
      </w:tr>
      <w:tr>
        <w:tc>
          <w:tcPr>
            <w:tcW w:type="dxa" w:w="1758"/>
            <w:shd w:fill="D4EFDF"/>
          </w:tcPr>
          <w:p>
            <w:r>
              <w:rPr>
                <w:b/>
                <w:sz w:val="16"/>
              </w:rPr>
              <w:t>COSTO TOTAL UNITARIO SHOTCRETE</w:t>
            </w:r>
          </w:p>
        </w:tc>
        <w:tc>
          <w:tcPr>
            <w:tcW w:type="dxa" w:w="1758"/>
            <w:shd w:fill="D4EFDF"/>
          </w:tcPr>
          <w:p>
            <w:r>
              <w:rPr>
                <w:b/>
                <w:sz w:val="16"/>
              </w:rPr>
              <w:t>m³</w:t>
            </w:r>
          </w:p>
        </w:tc>
        <w:tc>
          <w:tcPr>
            <w:tcW w:type="dxa" w:w="1758"/>
            <w:shd w:fill="D4EFDF"/>
          </w:tcPr>
          <w:p>
            <w:r>
              <w:rPr>
                <w:b/>
                <w:sz w:val="16"/>
              </w:rPr>
              <w:t>1.00</w:t>
            </w:r>
          </w:p>
        </w:tc>
        <w:tc>
          <w:tcPr>
            <w:tcW w:type="dxa" w:w="1758"/>
            <w:shd w:fill="D4EFDF"/>
          </w:tcPr>
          <w:p>
            <w:r>
              <w:rPr>
                <w:b/>
                <w:sz w:val="16"/>
              </w:rPr>
              <w:t>285.00</w:t>
            </w:r>
          </w:p>
        </w:tc>
        <w:tc>
          <w:tcPr>
            <w:tcW w:type="dxa" w:w="1758"/>
            <w:shd w:fill="D4EFDF"/>
          </w:tcPr>
          <w:p>
            <w:r>
              <w:rPr>
                <w:b/>
                <w:sz w:val="16"/>
              </w:rPr>
              <w:t>$285.00 USD/m³</w:t>
            </w:r>
          </w:p>
        </w:tc>
      </w:tr>
    </w:tbl>
    <w:p>
      <w:pPr>
        <w:spacing w:after="120" w:line="276" w:lineRule="auto"/>
        <w:jc w:val="both"/>
      </w:pPr>
      <w:r>
        <w:rPr>
          <w:i w:val="0"/>
        </w:rPr>
        <w:t>La capacidad de absorción de energía y resistencia post-agrietamiento del shotcrete con fibra sintética estructural se evalúa mediante la norma ASTM C1550-20 sobre panel circular simplemente apoyado en tres pivotes simétricos a 120°:</w:t>
      </w:r>
    </w:p>
    <w:p>
      <w:pPr>
        <w:spacing w:before="120" w:after="120"/>
        <w:jc w:val="center"/>
      </w:pPr>
      <w:r>
        <w:rPr>
          <w:b/>
          <w:sz w:val="21"/>
        </w:rPr>
        <w:t>T_40 = ∫ [0 a 40 mm] F(δ) dδ = 380 Joules   [Requisito Geomecánico Lincuna: T ≥ 320 J]</w:t>
      </w:r>
    </w:p>
    <w:p>
      <w:pPr>
        <w:spacing w:after="120" w:line="276" w:lineRule="auto"/>
        <w:jc w:val="both"/>
      </w:pPr>
      <w:r>
        <w:rPr>
          <w:i w:val="0"/>
        </w:rPr>
        <w:t>La tenacidad experimental de T40 = 380 Joules supera con holgura el requisito geomecánico de 320 J, garantizando la disipación elasto-plástica de energía sin riesgo de descascaramiento prematuro.</w:t>
      </w:r>
    </w:p>
    <w:p>
      <w:pPr>
        <w:spacing w:after="120" w:line="276" w:lineRule="auto"/>
        <w:jc w:val="both"/>
      </w:pPr>
      <w:r>
        <w:rPr>
          <w:i w:val="0"/>
        </w:rPr>
        <w:t>La regularidad geométrica del perfil excavado reduce además las pérdidas por rebote del shotcrete del 18.5% al 7.2%, optimizando el ciclo de lanzado y disminuyendo el desgaste abrasivo de las boquillas del equipo robotizado.</w:t>
      </w:r>
    </w:p>
    <w:p>
      <w:pPr>
        <w:keepNext/>
        <w:spacing w:before="220" w:after="60"/>
        <w:jc w:val="left"/>
      </w:pPr>
      <w:r>
        <w:rPr>
          <w:b/>
          <w:sz w:val="22"/>
        </w:rPr>
        <w:t>2.16. Inclinometría, Paralelismo y Desviación de Barrenos en Jumbos Sandvik DD321</w:t>
      </w:r>
    </w:p>
    <w:p>
      <w:pPr>
        <w:spacing w:after="120" w:line="276" w:lineRule="auto"/>
        <w:jc w:val="both"/>
      </w:pPr>
      <w:r>
        <w:rPr>
          <w:i w:val="0"/>
        </w:rPr>
        <w:t>La precisión geométrica de la perforación mecanizada es determinante en el control de la sobre-rotura. Las desviaciones en la trayectoria de los barrenos se originan en errores de emboquille, desalineamiento angular inicial de la corredera y flexión elástica de las barras de perforación de 12 pies (Hp = 3.66 m).</w:t>
      </w:r>
    </w:p>
    <w:p>
      <w:pPr>
        <w:spacing w:after="120" w:line="276" w:lineRule="auto"/>
        <w:jc w:val="both"/>
      </w:pPr>
      <w:r>
        <w:rPr>
          <w:i w:val="0"/>
        </w:rPr>
        <w:t>En el jumbo electrohidráulico Sandvik DD321 (equipado con plumas SB40 y perforadoras HLX5 de 20 kW), el paralelismo se monitoriza mediante inclinómetros electrónicos biaxiales y sensores angulares integrados al sistema TMS+. El error angular acumulado en fondo de taladro se mantiene por debajo de theta = 1.15°, lo que limita la desviación lateral en fondo a:</w:t>
      </w:r>
    </w:p>
    <w:p>
      <w:pPr>
        <w:spacing w:before="120" w:after="120"/>
        <w:jc w:val="center"/>
      </w:pPr>
      <w:r>
        <w:rPr>
          <w:b/>
          <w:sz w:val="21"/>
        </w:rPr>
        <w:t>Δx = H_p · tan(θ) = 3.66 m · tan(1.15°) = 0.0735 m = 7.35 cm ≤ 7.40 cm</w:t>
      </w:r>
    </w:p>
    <w:p>
      <w:pPr>
        <w:spacing w:after="120" w:line="276" w:lineRule="auto"/>
        <w:jc w:val="both"/>
      </w:pPr>
      <w:r>
        <w:rPr>
          <w:i w:val="0"/>
        </w:rPr>
        <w:t>Esta tolerancia milimétrica asegura que el burden perimétrico de diseño (Bpc = 0.572 m) se conserve inalterado a lo largo de toda la longitud del avance.</w:t>
      </w:r>
    </w:p>
    <w:p>
      <w:pPr>
        <w:spacing w:after="120" w:line="276" w:lineRule="auto"/>
        <w:jc w:val="both"/>
      </w:pPr>
      <w:r>
        <w:rPr>
          <w:i w:val="0"/>
        </w:rPr>
        <w:t>El sistema agéntico exporta la guía de perforación en formato estándar IREDES / XML directamente al panel de control del operador del jumbo, proyectando el plano de emboquille con guía láser y asegurando que ningún barreno exceda la tolerancia angular establecida.</w:t>
      </w:r>
    </w:p>
    <w:p>
      <w:pPr>
        <w:keepNext/>
        <w:spacing w:before="220" w:after="60"/>
        <w:jc w:val="left"/>
      </w:pPr>
      <w:r>
        <w:rPr>
          <w:b/>
          <w:sz w:val="22"/>
        </w:rPr>
        <w:t>2.17. Metodología de Contrastación Estadística Inferencial Paramétrica</w:t>
      </w:r>
    </w:p>
    <w:p>
      <w:pPr>
        <w:spacing w:after="120" w:line="276" w:lineRule="auto"/>
        <w:jc w:val="both"/>
      </w:pPr>
      <w:r>
        <w:rPr>
          <w:i w:val="0"/>
        </w:rPr>
        <w:t>La validación científica de las hipótesis de investigación se fundamenta en un esquema formal de contrastación inferencial paramétrica (nivel de significancia alfa = 0.05, confianza del 95%):</w:t>
      </w:r>
    </w:p>
    <w:p>
      <w:pPr>
        <w:pStyle w:val="ListBullet"/>
        <w:spacing w:after="80" w:line="276" w:lineRule="auto"/>
        <w:jc w:val="both"/>
      </w:pPr>
      <w:r>
        <w:rPr>
          <w:b/>
        </w:rPr>
        <w:t xml:space="preserve">1. Prueba t-Student para Muestras Pareadas: </w:t>
      </w:r>
      <w:r>
        <w:t>Evalúa la diferencia pareada de sobrerotura pre-sistema (34.36% ± 4.82%) versus post-sistema (4.85% ± 0.88%) en 30 disparos evaluados: t = (29.51 - 0) / (4.39 / √30) = 36.84 (p = 1.42 × 10^-24 &lt;&lt; 0.001, d de Cohen = 6.72), confirmando una reducción altamente significativa.</w:t>
      </w:r>
    </w:p>
    <w:p>
      <w:pPr>
        <w:pStyle w:val="ListBullet"/>
        <w:spacing w:after="80" w:line="276" w:lineRule="auto"/>
        <w:jc w:val="both"/>
      </w:pPr>
      <w:r>
        <w:rPr>
          <w:b/>
        </w:rPr>
        <w:t xml:space="preserve">2. Prueba t-Student de Una Muestra: </w:t>
      </w:r>
      <w:r>
        <w:t>Contrasta la media obtenida (4.85%) contra el límite máximo operacional corporativo (mu_0 = 5.0%): t = -0.933 (p = 0.179), ratificando el cumplimiento de la meta técnica.</w:t>
      </w:r>
    </w:p>
    <w:p>
      <w:pPr>
        <w:pStyle w:val="ListBullet"/>
        <w:spacing w:after="80" w:line="276" w:lineRule="auto"/>
        <w:jc w:val="both"/>
      </w:pPr>
      <w:r>
        <w:rPr>
          <w:b/>
        </w:rPr>
        <w:t xml:space="preserve">3. Análisis de Varianza (ANOVA Unifactorial): </w:t>
      </w:r>
      <w:r>
        <w:t>Evalúa la homogeneidad en el control de sobrerotura entre los 5 cruceros de prueba (Cruceros 100, 120, 140, 160, 180): F = 0.840 (p = 0.512 &gt; 0.05), demostrando la robustez y reproducibilidad del sistema agéntico en cualquier labor subterránea.</w:t>
      </w:r>
    </w:p>
    <w:p>
      <w:pPr>
        <w:spacing w:after="120" w:line="276" w:lineRule="auto"/>
        <w:jc w:val="both"/>
      </w:pPr>
      <w:r>
        <w:rPr>
          <w:i w:val="0"/>
        </w:rPr>
        <w:t>La prueba de normalidad de Shapiro-Wilk sobre los residuos del modelo arroja un estadístico W = 0.968 (p = 0.485 &gt; 0.05), y la prueba de homocedasticidad de Levene arroja W = 0.342 (p = 0.848 &gt; 0.05), confirmando el pleno cumplimiento de los supuestos matemáticos de las pruebas paramétricas.</w:t>
      </w:r>
    </w:p>
    <w:p>
      <w:pPr>
        <w:keepNext/>
        <w:spacing w:before="160" w:after="40"/>
        <w:jc w:val="center"/>
      </w:pPr>
      <w:r>
        <w:rPr>
          <w:b/>
        </w:rPr>
        <w:t>Tabla 5</w:t>
      </w:r>
    </w:p>
    <w:p>
      <w:pPr>
        <w:keepNext/>
        <w:spacing w:after="120"/>
        <w:jc w:val="center"/>
      </w:pPr>
      <w:r>
        <w:rPr>
          <w:i/>
        </w:rPr>
        <w:t>Resumen de Ecuaciones Físico-Matemáticas y Modelos Determinísticos del Marco Teórico.</w:t>
      </w:r>
    </w:p>
    <w:tbl>
      <w:tblPr>
        <w:tblW w:type="auto" w:w="0"/>
        <w:jc w:val="center"/>
        <w:tblLook w:firstColumn="1" w:firstRow="1" w:lastColumn="0" w:lastRow="0" w:noHBand="0" w:noVBand="1" w:val="04A0"/>
      </w:tblPr>
      <w:tblGrid>
        <w:gridCol w:w="2929"/>
        <w:gridCol w:w="2929"/>
        <w:gridCol w:w="2929"/>
      </w:tblGrid>
      <w:tr>
        <w:tc>
          <w:tcPr>
            <w:tcW w:type="dxa" w:w="2929"/>
            <w:shd w:fill="0D233A"/>
          </w:tcPr>
          <w:p>
            <w:r>
              <w:rPr>
                <w:b/>
                <w:color w:val="FFFFFF"/>
                <w:sz w:val="17"/>
              </w:rPr>
              <w:t>Fenómeno / Modelo Teórico</w:t>
            </w:r>
          </w:p>
        </w:tc>
        <w:tc>
          <w:tcPr>
            <w:tcW w:type="dxa" w:w="2929"/>
            <w:shd w:fill="0D233A"/>
          </w:tcPr>
          <w:p>
            <w:r>
              <w:rPr>
                <w:b/>
                <w:color w:val="FFFFFF"/>
                <w:sz w:val="17"/>
              </w:rPr>
              <w:t>Ecuación Matemática Constitutiva</w:t>
            </w:r>
          </w:p>
        </w:tc>
        <w:tc>
          <w:tcPr>
            <w:tcW w:type="dxa" w:w="2929"/>
            <w:shd w:fill="0D233A"/>
          </w:tcPr>
          <w:p>
            <w:r>
              <w:rPr>
                <w:b/>
                <w:color w:val="FFFFFF"/>
                <w:sz w:val="17"/>
              </w:rPr>
              <w:t>Variables y Parámetros Principales</w:t>
            </w:r>
          </w:p>
        </w:tc>
      </w:tr>
      <w:tr>
        <w:tc>
          <w:tcPr>
            <w:tcW w:type="dxa" w:w="2929"/>
          </w:tcPr>
          <w:p>
            <w:r>
              <w:rPr>
                <w:sz w:val="16"/>
              </w:rPr>
              <w:t>Presión Chapman-Jouguet (Cook)</w:t>
            </w:r>
          </w:p>
        </w:tc>
        <w:tc>
          <w:tcPr>
            <w:tcW w:type="dxa" w:w="2929"/>
          </w:tcPr>
          <w:p>
            <w:r>
              <w:rPr>
                <w:sz w:val="16"/>
              </w:rPr>
              <w:t>Pt = 228×10^-6 · ρe · [VOD² / (1 + 0.8·ρe)]</w:t>
            </w:r>
          </w:p>
        </w:tc>
        <w:tc>
          <w:tcPr>
            <w:tcW w:type="dxa" w:w="2929"/>
          </w:tcPr>
          <w:p>
            <w:r>
              <w:rPr>
                <w:sz w:val="16"/>
              </w:rPr>
              <w:t>Pt = 2,026.67 MPa, ρe = 1.00 g/cm³, VOD = 4000 m/s</w:t>
            </w:r>
          </w:p>
        </w:tc>
      </w:tr>
      <w:tr>
        <w:tc>
          <w:tcPr>
            <w:tcW w:type="dxa" w:w="2929"/>
            <w:shd w:fill="F8F9FA"/>
          </w:tcPr>
          <w:p>
            <w:r>
              <w:rPr>
                <w:sz w:val="16"/>
              </w:rPr>
              <w:t>Presión Desacoplada (Persson)</w:t>
            </w:r>
          </w:p>
        </w:tc>
        <w:tc>
          <w:tcPr>
            <w:tcW w:type="dxa" w:w="2929"/>
            <w:shd w:fill="F8F9FA"/>
          </w:tcPr>
          <w:p>
            <w:r>
              <w:rPr>
                <w:sz w:val="16"/>
              </w:rPr>
              <w:t>Pte = Pt · [(dc^0.42) / D1]</w:t>
            </w:r>
          </w:p>
        </w:tc>
        <w:tc>
          <w:tcPr>
            <w:tcW w:type="dxa" w:w="2929"/>
            <w:shd w:fill="F8F9FA"/>
          </w:tcPr>
          <w:p>
            <w:r>
              <w:rPr>
                <w:sz w:val="16"/>
              </w:rPr>
              <w:t>Pte = 164.96 MPa ≤ UCS (180.05 MPa), dc=22mm, D1=45mm</w:t>
            </w:r>
          </w:p>
        </w:tc>
      </w:tr>
      <w:tr>
        <w:tc>
          <w:tcPr>
            <w:tcW w:type="dxa" w:w="2929"/>
          </w:tcPr>
          <w:p>
            <w:r>
              <w:rPr>
                <w:sz w:val="16"/>
              </w:rPr>
              <w:t>Daño de Campo Cercano (Holmberg)</w:t>
            </w:r>
          </w:p>
        </w:tc>
        <w:tc>
          <w:tcPr>
            <w:tcW w:type="dxa" w:w="2929"/>
          </w:tcPr>
          <w:p>
            <w:r>
              <w:rPr>
                <w:sz w:val="16"/>
              </w:rPr>
              <w:t>PPV = K · [ql / R]^α · [arctan(L/R) + arctan(x/R)]^β</w:t>
            </w:r>
          </w:p>
        </w:tc>
        <w:tc>
          <w:tcPr>
            <w:tcW w:type="dxa" w:w="2929"/>
          </w:tcPr>
          <w:p>
            <w:r>
              <w:rPr>
                <w:sz w:val="16"/>
              </w:rPr>
              <w:t>K = 700, α = 0.70, β = 0.70, ql = carga lineal (kg/m)</w:t>
            </w:r>
          </w:p>
        </w:tc>
      </w:tr>
      <w:tr>
        <w:tc>
          <w:tcPr>
            <w:tcW w:type="dxa" w:w="2929"/>
            <w:shd w:fill="F8F9FA"/>
          </w:tcPr>
          <w:p>
            <w:r>
              <w:rPr>
                <w:sz w:val="16"/>
              </w:rPr>
              <w:t>Criterio Hoek-Brown (2018)</w:t>
            </w:r>
          </w:p>
        </w:tc>
        <w:tc>
          <w:tcPr>
            <w:tcW w:type="dxa" w:w="2929"/>
            <w:shd w:fill="F8F9FA"/>
          </w:tcPr>
          <w:p>
            <w:r>
              <w:rPr>
                <w:sz w:val="16"/>
              </w:rPr>
              <w:t>σ1' = σ3' + σci · [mb · (σ3'/σci) + s]^a</w:t>
            </w:r>
          </w:p>
        </w:tc>
        <w:tc>
          <w:tcPr>
            <w:tcW w:type="dxa" w:w="2929"/>
            <w:shd w:fill="F8F9FA"/>
          </w:tcPr>
          <w:p>
            <w:r>
              <w:rPr>
                <w:sz w:val="16"/>
              </w:rPr>
              <w:t>mb = 4.25, s = 0.0039, a = 0.506 (D = 0.0)</w:t>
            </w:r>
          </w:p>
        </w:tc>
      </w:tr>
      <w:tr>
        <w:tc>
          <w:tcPr>
            <w:tcW w:type="dxa" w:w="2929"/>
          </w:tcPr>
          <w:p>
            <w:r>
              <w:rPr>
                <w:sz w:val="16"/>
              </w:rPr>
              <w:t>Esfuerzos Tangenciales (Kirsch)</w:t>
            </w:r>
          </w:p>
        </w:tc>
        <w:tc>
          <w:tcPr>
            <w:tcW w:type="dxa" w:w="2929"/>
          </w:tcPr>
          <w:p>
            <w:r>
              <w:rPr>
                <w:sz w:val="16"/>
              </w:rPr>
              <w:t>σθ(corona) = 3·σh - σv ; σθ(hastial) = 3·σv - σh</w:t>
            </w:r>
          </w:p>
        </w:tc>
        <w:tc>
          <w:tcPr>
            <w:tcW w:type="dxa" w:w="2929"/>
          </w:tcPr>
          <w:p>
            <w:r>
              <w:rPr>
                <w:sz w:val="16"/>
              </w:rPr>
              <w:t>σθ(corona) = 31.30 MPa, σθ(hastial) = 21.38 MPa</w:t>
            </w:r>
          </w:p>
        </w:tc>
      </w:tr>
      <w:tr>
        <w:tc>
          <w:tcPr>
            <w:tcW w:type="dxa" w:w="2929"/>
            <w:shd w:fill="F8F9FA"/>
          </w:tcPr>
          <w:p>
            <w:r>
              <w:rPr>
                <w:sz w:val="16"/>
              </w:rPr>
              <w:t>Expansión Isentrópica (JWL)</w:t>
            </w:r>
          </w:p>
        </w:tc>
        <w:tc>
          <w:tcPr>
            <w:tcW w:type="dxa" w:w="2929"/>
            <w:shd w:fill="F8F9FA"/>
          </w:tcPr>
          <w:p>
            <w:r>
              <w:rPr>
                <w:sz w:val="16"/>
              </w:rPr>
              <w:t>P(V) = A(1-ω/R1V)e^-R1V + B(1-ω/R2V)e^-R2V + ωE0/V</w:t>
            </w:r>
          </w:p>
        </w:tc>
        <w:tc>
          <w:tcPr>
            <w:tcW w:type="dxa" w:w="2929"/>
            <w:shd w:fill="F8F9FA"/>
          </w:tcPr>
          <w:p>
            <w:r>
              <w:rPr>
                <w:sz w:val="16"/>
              </w:rPr>
              <w:t>A = 220.5 GPa, B = 0.201 GPa, E0 = 4.15 GJ/m³</w:t>
            </w:r>
          </w:p>
        </w:tc>
      </w:tr>
      <w:tr>
        <w:tc>
          <w:tcPr>
            <w:tcW w:type="dxa" w:w="2929"/>
          </w:tcPr>
          <w:p>
            <w:r>
              <w:rPr>
                <w:sz w:val="16"/>
              </w:rPr>
              <w:t>Fragmentación Swebrec</w:t>
            </w:r>
          </w:p>
        </w:tc>
        <w:tc>
          <w:tcPr>
            <w:tcW w:type="dxa" w:w="2929"/>
          </w:tcPr>
          <w:p>
            <w:r>
              <w:rPr>
                <w:sz w:val="16"/>
              </w:rPr>
              <w:t>P(x) = 1 / [1 + (ln(xmax/x) / ln(xmax/x50))^b]</w:t>
            </w:r>
          </w:p>
        </w:tc>
        <w:tc>
          <w:tcPr>
            <w:tcW w:type="dxa" w:w="2929"/>
          </w:tcPr>
          <w:p>
            <w:r>
              <w:rPr>
                <w:sz w:val="16"/>
              </w:rPr>
              <w:t>xmax = 0.45 m, x50 = 0.108 m, b = 1.85 (P80 &lt; 10.8 cm)</w:t>
            </w:r>
          </w:p>
        </w:tc>
      </w:tr>
      <w:tr>
        <w:tc>
          <w:tcPr>
            <w:tcW w:type="dxa" w:w="2929"/>
            <w:shd w:fill="F8F9FA"/>
          </w:tcPr>
          <w:p>
            <w:r>
              <w:rPr>
                <w:sz w:val="16"/>
              </w:rPr>
              <w:t>Tenacidad ASTM C1550 (Shotcrete)</w:t>
            </w:r>
          </w:p>
        </w:tc>
        <w:tc>
          <w:tcPr>
            <w:tcW w:type="dxa" w:w="2929"/>
            <w:shd w:fill="F8F9FA"/>
          </w:tcPr>
          <w:p>
            <w:r>
              <w:rPr>
                <w:sz w:val="16"/>
              </w:rPr>
              <w:t>T40 = ∫ [0 a 40 mm] F(δ) dδ</w:t>
            </w:r>
          </w:p>
        </w:tc>
        <w:tc>
          <w:tcPr>
            <w:tcW w:type="dxa" w:w="2929"/>
            <w:shd w:fill="F8F9FA"/>
          </w:tcPr>
          <w:p>
            <w:r>
              <w:rPr>
                <w:sz w:val="16"/>
              </w:rPr>
              <w:t>T40 = 380 Joules ≥ 320 Joules (Requisito Lincuna)</w:t>
            </w:r>
          </w:p>
        </w:tc>
      </w:tr>
    </w:tbl>
    <w:p>
      <w:pPr>
        <w:keepNext/>
        <w:spacing w:before="280" w:after="80"/>
        <w:jc w:val="left"/>
      </w:pPr>
      <w:r>
        <w:rPr>
          <w:b/>
          <w:sz w:val="24"/>
        </w:rPr>
        <w:t>3. MARCO CONCEPTUAL</w:t>
      </w:r>
    </w:p>
    <w:p>
      <w:pPr>
        <w:spacing w:after="120" w:line="276" w:lineRule="auto"/>
        <w:jc w:val="both"/>
      </w:pPr>
      <w:r>
        <w:rPr>
          <w:b/>
        </w:rPr>
        <w:t xml:space="preserve">Aceleración lateral dinámica: </w:t>
      </w:r>
      <w:r>
        <w:rPr>
          <w:i w:val="0"/>
        </w:rPr>
        <w:t>Magnitud vectorial de la aceleración tangencial inducida en las partículas del macizo rocoso por ondas de corte y tracción durante la detonación, evaluada en mm/s² para predecir el desprendimiento inercial de bloques.</w:t>
      </w:r>
    </w:p>
    <w:p>
      <w:pPr>
        <w:spacing w:after="120" w:line="276" w:lineRule="auto"/>
        <w:jc w:val="both"/>
      </w:pPr>
      <w:r>
        <w:rPr>
          <w:b/>
        </w:rPr>
        <w:t xml:space="preserve">Agente autónomo (AI Agent): </w:t>
      </w:r>
      <w:r>
        <w:rPr>
          <w:i w:val="0"/>
        </w:rPr>
        <w:t>Entidad de software basada en modelos de lenguaje y reglas determinísticas formales que percibe restricciones físicas del macizo rocoso y ejecuta acciones de diseño asistido de perforación sin intervención humana continua.</w:t>
      </w:r>
    </w:p>
    <w:p>
      <w:pPr>
        <w:spacing w:after="120" w:line="276" w:lineRule="auto"/>
        <w:jc w:val="both"/>
      </w:pPr>
      <w:r>
        <w:rPr>
          <w:b/>
        </w:rPr>
        <w:t xml:space="preserve">Algoritmo de auto-tajeo espacial: </w:t>
      </w:r>
      <w:r>
        <w:rPr>
          <w:i w:val="0"/>
        </w:rPr>
        <w:t>Procedimiento computacional determinístico que optimiza la posición cartesiana (X, Y) y la carga de los taladros de ayuda en el núcleo de la labor subterránea mediante teselación geométrica para balancear la densidad energética.</w:t>
      </w:r>
    </w:p>
    <w:p>
      <w:pPr>
        <w:spacing w:after="120" w:line="276" w:lineRule="auto"/>
        <w:jc w:val="both"/>
      </w:pPr>
      <w:r>
        <w:rPr>
          <w:b/>
        </w:rPr>
        <w:t xml:space="preserve">Alivio central (taladro escariado): </w:t>
      </w:r>
      <w:r>
        <w:rPr>
          <w:i w:val="0"/>
        </w:rPr>
        <w:t>Barreno no cargado de gran diámetro (102 mm) perforado en el centro geométrico del corte de arranque que proporciona la superficie libre inicial requerida para la expansión volumétrica y el esponjamiento de la roca.</w:t>
      </w:r>
    </w:p>
    <w:p>
      <w:pPr>
        <w:spacing w:after="120" w:line="276" w:lineRule="auto"/>
        <w:jc w:val="both"/>
      </w:pPr>
      <w:r>
        <w:rPr>
          <w:b/>
        </w:rPr>
        <w:t xml:space="preserve">Área de sección nominal: </w:t>
      </w:r>
      <w:r>
        <w:rPr>
          <w:i w:val="0"/>
        </w:rPr>
        <w:t>Superficie teórica de diseño de la labor minera subterránea delimitada por planeamiento (19.04 m² para sección tipo baúl de 4.50 m de ancho por 4.50 m de alto con radio de curvatura en corona de 2.65 m).</w:t>
      </w:r>
    </w:p>
    <w:p>
      <w:pPr>
        <w:spacing w:after="120" w:line="276" w:lineRule="auto"/>
        <w:jc w:val="both"/>
      </w:pPr>
      <w:r>
        <w:rPr>
          <w:b/>
        </w:rPr>
        <w:t xml:space="preserve">Arranque en cuatro cuadrantes: </w:t>
      </w:r>
      <w:r>
        <w:rPr>
          <w:i w:val="0"/>
        </w:rPr>
        <w:t>Geometría de corte de barrenos paralelos dispuestos en cuatro cuadrados concéntricos alrededor del alivio central que detonan secuencialmente para generar una cavidad inicial abierta.</w:t>
      </w:r>
    </w:p>
    <w:p>
      <w:pPr>
        <w:spacing w:after="120" w:line="276" w:lineRule="auto"/>
        <w:jc w:val="both"/>
      </w:pPr>
      <w:r>
        <w:rPr>
          <w:b/>
        </w:rPr>
        <w:t xml:space="preserve">Bases de datos operacionales: </w:t>
      </w:r>
      <w:r>
        <w:rPr>
          <w:i w:val="0"/>
        </w:rPr>
        <w:t>Conjuntos estructurados de registros diarios de mina correspondientes a avances lineales, reportes de perforación mecanizada, registros de voladura, tiempos de ciclo de carguío y consumos de sostenimiento.</w:t>
      </w:r>
    </w:p>
    <w:p>
      <w:pPr>
        <w:spacing w:after="120" w:line="276" w:lineRule="auto"/>
        <w:jc w:val="both"/>
      </w:pPr>
      <w:r>
        <w:rPr>
          <w:b/>
        </w:rPr>
        <w:t xml:space="preserve">Burden práctico (Bp): </w:t>
      </w:r>
      <w:r>
        <w:rPr>
          <w:i w:val="0"/>
        </w:rPr>
        <w:t>Distancia geométrica perpendicular más corta medida desde el eje de un barreno cargado hasta la superficie libre o frente de desahogo más cercano disponible al momento de la detonación.</w:t>
      </w:r>
    </w:p>
    <w:p>
      <w:pPr>
        <w:spacing w:after="120" w:line="276" w:lineRule="auto"/>
        <w:jc w:val="both"/>
      </w:pPr>
      <w:r>
        <w:rPr>
          <w:b/>
        </w:rPr>
        <w:t xml:space="preserve">Celdas de Voronoi: </w:t>
      </w:r>
      <w:r>
        <w:rPr>
          <w:i w:val="0"/>
        </w:rPr>
        <w:t>Partición geométrica del plano del frente donde cada polígono contiene todos los puntos más cercanos a un barreno específico, utilizada para calcular el factor de carga puntual y la distribución uniforme de energía.</w:t>
      </w:r>
    </w:p>
    <w:p>
      <w:pPr>
        <w:spacing w:after="120" w:line="276" w:lineRule="auto"/>
        <w:jc w:val="both"/>
      </w:pPr>
      <w:r>
        <w:rPr>
          <w:b/>
        </w:rPr>
        <w:t xml:space="preserve">Compuerta de calidad geomecánica: </w:t>
      </w:r>
      <w:r>
        <w:rPr>
          <w:i w:val="0"/>
        </w:rPr>
        <w:t>Restricción física inviolable integrada en el software que bloquea y veta cualquier diseño de malla si la presión efectiva calculada en la pared del contorno supera la resistencia compresiva uniaxial (Pte &gt; UCS).</w:t>
      </w:r>
    </w:p>
    <w:p>
      <w:pPr>
        <w:spacing w:after="120" w:line="276" w:lineRule="auto"/>
        <w:jc w:val="both"/>
      </w:pPr>
      <w:r>
        <w:rPr>
          <w:b/>
        </w:rPr>
        <w:t xml:space="preserve">Concreto proyectado (shotcrete) vía húmeda: </w:t>
      </w:r>
      <w:r>
        <w:rPr>
          <w:i w:val="0"/>
        </w:rPr>
        <w:t>Mezcla homogénea de cemento Portland, áridos seleccionados, agua, aditivos acelerantes y macrofibra sintética estructural lanzada neumáticamente a alta velocidad para estabilizar el macizo rocoso.</w:t>
      </w:r>
    </w:p>
    <w:p>
      <w:pPr>
        <w:spacing w:after="120" w:line="276" w:lineRule="auto"/>
        <w:jc w:val="both"/>
      </w:pPr>
      <w:r>
        <w:rPr>
          <w:b/>
        </w:rPr>
        <w:t xml:space="preserve">Desacoplamiento de carga: </w:t>
      </w:r>
      <w:r>
        <w:rPr>
          <w:i w:val="0"/>
        </w:rPr>
        <w:t>Relación geométrica entre el diámetro del cartucho explosivo y el diámetro del barreno (dc / dh &lt; 1.0) diseñada para amortiguar el pulso de presión hidrodinámica transmitido a la roca mediante un espacio anular de aire.</w:t>
      </w:r>
    </w:p>
    <w:p>
      <w:pPr>
        <w:spacing w:after="120" w:line="276" w:lineRule="auto"/>
        <w:jc w:val="both"/>
      </w:pPr>
      <w:r>
        <w:rPr>
          <w:b/>
        </w:rPr>
        <w:t xml:space="preserve">Diseño cuasiexperimental longitudinal: </w:t>
      </w:r>
      <w:r>
        <w:rPr>
          <w:i w:val="0"/>
        </w:rPr>
        <w:t>Esquema metodológico de contrastación científica en el cual se evalúan mediciones cuantitativas repetidas de la variable dependiente antes y después de aplicar el tratamiento tecnológico en las mismas unidades de análisis.</w:t>
      </w:r>
    </w:p>
    <w:p>
      <w:pPr>
        <w:spacing w:after="120" w:line="276" w:lineRule="auto"/>
        <w:jc w:val="both"/>
      </w:pPr>
      <w:r>
        <w:rPr>
          <w:b/>
        </w:rPr>
        <w:t xml:space="preserve">Distancia punto a malla (Cloud-to-Mesh / C2M): </w:t>
      </w:r>
      <w:r>
        <w:rPr>
          <w:i w:val="0"/>
        </w:rPr>
        <w:t>Distancia euclidiana tridimensional calculada de forma computacional entre cada punto de la nube de puntos LIDAR 3D y la cara poligonal teórica más cercana del sólido de diseño de la labor.</w:t>
      </w:r>
    </w:p>
    <w:p>
      <w:pPr>
        <w:spacing w:after="120" w:line="276" w:lineRule="auto"/>
        <w:jc w:val="both"/>
      </w:pPr>
      <w:r>
        <w:rPr>
          <w:b/>
        </w:rPr>
        <w:t xml:space="preserve">Ecuación de estado de Jones-Wilkins-Lee (JWL): </w:t>
      </w:r>
      <w:r>
        <w:rPr>
          <w:i w:val="0"/>
        </w:rPr>
        <w:t>Formulación termodinámica no lineal semiempírica que describe la presión de expansión isentrópica generada por los gases de detonación en función del volumen relativo.</w:t>
      </w:r>
    </w:p>
    <w:p>
      <w:pPr>
        <w:spacing w:after="120" w:line="276" w:lineRule="auto"/>
        <w:jc w:val="both"/>
      </w:pPr>
      <w:r>
        <w:rPr>
          <w:b/>
        </w:rPr>
        <w:t xml:space="preserve">Efecto arco (Rock Arching): </w:t>
      </w:r>
      <w:r>
        <w:rPr>
          <w:i w:val="0"/>
        </w:rPr>
        <w:t>Fenómeno de redistribución de esfuerzos elásticos mediante el cual un macizo rocoso transfiere las cargas litostáticas alrededor de una cavidad excavada hacia los hastiales sin experimentar colapso gravitacional.</w:t>
      </w:r>
    </w:p>
    <w:p>
      <w:pPr>
        <w:spacing w:after="120" w:line="276" w:lineRule="auto"/>
        <w:jc w:val="both"/>
      </w:pPr>
      <w:r>
        <w:rPr>
          <w:b/>
        </w:rPr>
        <w:t xml:space="preserve">Eficiencia de avance lineal: </w:t>
      </w:r>
      <w:r>
        <w:rPr>
          <w:i w:val="0"/>
        </w:rPr>
        <w:t>Relación porcentual adimensional calculada entre la longitud efectiva de avance longitudinal lograda tras el disparo y la longitud perforada teórica de los barrenos (Avance / Hp × 100).</w:t>
      </w:r>
    </w:p>
    <w:p>
      <w:pPr>
        <w:spacing w:after="120" w:line="276" w:lineRule="auto"/>
        <w:jc w:val="both"/>
      </w:pPr>
      <w:r>
        <w:rPr>
          <w:b/>
        </w:rPr>
        <w:t xml:space="preserve">Emulsión matriz encartuchada: </w:t>
      </w:r>
      <w:r>
        <w:rPr>
          <w:i w:val="0"/>
        </w:rPr>
        <w:t>Explosivo industrial impermeable al agua constituido por microgotas de solución oxidante de nitrato de amonio dispersas en una fase hidrocarburo continua, sensibilizada mediante microesferas de vidrio.</w:t>
      </w:r>
    </w:p>
    <w:p>
      <w:pPr>
        <w:spacing w:after="120" w:line="276" w:lineRule="auto"/>
        <w:jc w:val="both"/>
      </w:pPr>
      <w:r>
        <w:rPr>
          <w:b/>
        </w:rPr>
        <w:t xml:space="preserve">Escáner láser terrestre 3D (LIDAR): </w:t>
      </w:r>
      <w:r>
        <w:rPr>
          <w:i w:val="0"/>
        </w:rPr>
        <w:t>Instrumento topográfico optoelectrónico de barrido que emite pulsos láser de alta frecuencia para capturar millones de coordenadas tridimensionales de la cavidad minera con precisión milimétrica.</w:t>
      </w:r>
    </w:p>
    <w:p>
      <w:pPr>
        <w:spacing w:after="120" w:line="276" w:lineRule="auto"/>
        <w:jc w:val="both"/>
      </w:pPr>
      <w:r>
        <w:rPr>
          <w:b/>
        </w:rPr>
        <w:t xml:space="preserve">Espaciamiento práctico (Sp): </w:t>
      </w:r>
      <w:r>
        <w:rPr>
          <w:i w:val="0"/>
        </w:rPr>
        <w:t>Distancia lineal medida entre los centros de dos barrenos contiguos pertenecientes a una misma fila, cuadrante o sección de voladura.</w:t>
      </w:r>
    </w:p>
    <w:p>
      <w:pPr>
        <w:spacing w:after="120" w:line="276" w:lineRule="auto"/>
        <w:jc w:val="both"/>
      </w:pPr>
      <w:r>
        <w:rPr>
          <w:b/>
        </w:rPr>
        <w:t xml:space="preserve">Factor de carga lineal (ql): </w:t>
      </w:r>
      <w:r>
        <w:rPr>
          <w:i w:val="0"/>
        </w:rPr>
        <w:t>Masa de material explosivo activo contenida por cada metro lineal de longitud útil de barreno, expresada en kilogramos por metro (kg/m).</w:t>
      </w:r>
    </w:p>
    <w:p>
      <w:pPr>
        <w:spacing w:after="120" w:line="276" w:lineRule="auto"/>
        <w:jc w:val="both"/>
      </w:pPr>
      <w:r>
        <w:rPr>
          <w:b/>
        </w:rPr>
        <w:t xml:space="preserve">Factor de fijación de Gustafsson (f): </w:t>
      </w:r>
      <w:r>
        <w:rPr>
          <w:i w:val="0"/>
        </w:rPr>
        <w:t>Coeficiente empírico adimensional que cuantifica la resistencia mecánica adicional al despegue de la roca en barrenos de arrastre debido al confinamiento del piso y el peso propio del estrato (f = 1.45).</w:t>
      </w:r>
    </w:p>
    <w:p>
      <w:pPr>
        <w:spacing w:after="120" w:line="276" w:lineRule="auto"/>
        <w:jc w:val="both"/>
      </w:pPr>
      <w:r>
        <w:rPr>
          <w:b/>
        </w:rPr>
        <w:t xml:space="preserve">Factor de media caña (Half-Cast Factor / HCF): </w:t>
      </w:r>
      <w:r>
        <w:rPr>
          <w:i w:val="0"/>
        </w:rPr>
        <w:t>Porcentaje de la longitud total de las trazas cilíndricas visibles de barrenos de contorno que permanecen intactas en la roca remanente tras la voladura.</w:t>
      </w:r>
    </w:p>
    <w:p>
      <w:pPr>
        <w:spacing w:after="120" w:line="276" w:lineRule="auto"/>
        <w:jc w:val="both"/>
      </w:pPr>
      <w:r>
        <w:rPr>
          <w:b/>
        </w:rPr>
        <w:t xml:space="preserve">Factor de potencia (qp): </w:t>
      </w:r>
      <w:r>
        <w:rPr>
          <w:i w:val="0"/>
        </w:rPr>
        <w:t>Métrica de consumo energético que representa la cantidad de explosivo consumida por unidad de volumen o masa de roca excavada (expresada en kg/m³ o kg/t).</w:t>
      </w:r>
    </w:p>
    <w:p>
      <w:pPr>
        <w:spacing w:after="120" w:line="276" w:lineRule="auto"/>
        <w:jc w:val="both"/>
      </w:pPr>
      <w:r>
        <w:rPr>
          <w:b/>
        </w:rPr>
        <w:t xml:space="preserve">Frentes de avance horizontal: </w:t>
      </w:r>
      <w:r>
        <w:rPr>
          <w:i w:val="0"/>
        </w:rPr>
        <w:t>Labores subterráneas lineales de desarrollo y exploración (cruceros, galerías, rampas) excavadas en dirección subhorizontal en el macizo rocoso.</w:t>
      </w:r>
    </w:p>
    <w:p>
      <w:pPr>
        <w:spacing w:after="120" w:line="276" w:lineRule="auto"/>
        <w:jc w:val="both"/>
      </w:pPr>
      <w:r>
        <w:rPr>
          <w:b/>
        </w:rPr>
        <w:t xml:space="preserve">Índice RMR 89 de Bieniawski: </w:t>
      </w:r>
      <w:r>
        <w:rPr>
          <w:i w:val="0"/>
        </w:rPr>
        <w:t>Sistema de clasificación geomecánica que cuantifica la calidad de un macizo rocoso mediante la suma ponderada de seis parámetros geológicos y resistentes fundamentales.</w:t>
      </w:r>
    </w:p>
    <w:p>
      <w:pPr>
        <w:spacing w:after="120" w:line="276" w:lineRule="auto"/>
        <w:jc w:val="both"/>
      </w:pPr>
      <w:r>
        <w:rPr>
          <w:b/>
        </w:rPr>
        <w:t xml:space="preserve">Iterative Closest Point (ICP): </w:t>
      </w:r>
      <w:r>
        <w:rPr>
          <w:i w:val="0"/>
        </w:rPr>
        <w:t>Algoritmo de optimización espacial que calcula la rotación y traslación rígida para minimizar el error cuadrático medio de distancia entre dos nubes de puntos 3D superpuestas.</w:t>
      </w:r>
    </w:p>
    <w:p>
      <w:pPr>
        <w:spacing w:after="120" w:line="276" w:lineRule="auto"/>
        <w:jc w:val="both"/>
      </w:pPr>
      <w:r>
        <w:rPr>
          <w:b/>
        </w:rPr>
        <w:t xml:space="preserve">Jumbo electrohidráulico: </w:t>
      </w:r>
      <w:r>
        <w:rPr>
          <w:i w:val="0"/>
        </w:rPr>
        <w:t>Equipo mecanizado móvil de perforación pesada subterránea dotado de plumas articuladas SB40 y perforadoras hidráulicas HLX5 de alto torque y percusión.</w:t>
      </w:r>
    </w:p>
    <w:p>
      <w:pPr>
        <w:spacing w:after="120" w:line="276" w:lineRule="auto"/>
        <w:jc w:val="both"/>
      </w:pPr>
      <w:r>
        <w:rPr>
          <w:b/>
        </w:rPr>
        <w:t xml:space="preserve">Línea base operacional: </w:t>
      </w:r>
      <w:r>
        <w:rPr>
          <w:i w:val="0"/>
        </w:rPr>
        <w:t>Registro histórico estructurado de indicadores de rendimiento de perforación, voladura, costos de shotcrete y sobrerotura medidos con anterioridad a la implementación del sistema asistido.</w:t>
      </w:r>
    </w:p>
    <w:p>
      <w:pPr>
        <w:spacing w:after="120" w:line="276" w:lineRule="auto"/>
        <w:jc w:val="both"/>
      </w:pPr>
      <w:r>
        <w:rPr>
          <w:b/>
        </w:rPr>
        <w:t xml:space="preserve">Malla de perforación y voladura: </w:t>
      </w:r>
      <w:r>
        <w:rPr>
          <w:i w:val="0"/>
        </w:rPr>
        <w:t>Configuración geométrica bidimensional y tridimensional que define la ubicación cartesiana, inclinación, longitud, diámetro y carga de los barrenos en el frente de avance.</w:t>
      </w:r>
    </w:p>
    <w:p>
      <w:pPr>
        <w:spacing w:after="120" w:line="276" w:lineRule="auto"/>
        <w:jc w:val="both"/>
      </w:pPr>
      <w:r>
        <w:rPr>
          <w:b/>
        </w:rPr>
        <w:t xml:space="preserve">Model Context Protocol (MCP): </w:t>
      </w:r>
      <w:r>
        <w:rPr>
          <w:i w:val="0"/>
        </w:rPr>
        <w:t>Estándar de arquitectura de software abierto que permite a modelos de inteligencia artificial interactuar con herramientas externas, solucionadores determinísticos y bases de datos estructuradas.</w:t>
      </w:r>
    </w:p>
    <w:p>
      <w:pPr>
        <w:spacing w:after="120" w:line="276" w:lineRule="auto"/>
        <w:jc w:val="both"/>
      </w:pPr>
      <w:r>
        <w:rPr>
          <w:b/>
        </w:rPr>
        <w:t xml:space="preserve">Modelo de Holmberg-Persson: </w:t>
      </w:r>
      <w:r>
        <w:rPr>
          <w:i w:val="0"/>
        </w:rPr>
        <w:t>Metodología matemática analítica para el diseño de voladura subterránea basada en la ley de atenuación elasto-dinámica de la velocidad pico de partícula inducida en el contorno.</w:t>
      </w:r>
    </w:p>
    <w:p>
      <w:pPr>
        <w:spacing w:after="120" w:line="276" w:lineRule="auto"/>
        <w:jc w:val="both"/>
      </w:pPr>
      <w:r>
        <w:rPr>
          <w:b/>
        </w:rPr>
        <w:t xml:space="preserve">Nube de puntos 3D: </w:t>
      </w:r>
      <w:r>
        <w:rPr>
          <w:i w:val="0"/>
        </w:rPr>
        <w:t>Conjunto denso de millones de vectores de coordenadas cartesianas tridimensionales capturados por escaneo láser que representan la superficie física real de la labor subterránea.</w:t>
      </w:r>
    </w:p>
    <w:p>
      <w:pPr>
        <w:spacing w:after="120" w:line="276" w:lineRule="auto"/>
        <w:jc w:val="both"/>
      </w:pPr>
      <w:r>
        <w:rPr>
          <w:b/>
        </w:rPr>
        <w:t xml:space="preserve">Presión de detonación Chapman-Jouguet (Pt): </w:t>
      </w:r>
      <w:r>
        <w:rPr>
          <w:i w:val="0"/>
        </w:rPr>
        <w:t>Presión hidrodinámica instantánea calculada en el plano sónico donde concluye la reacción química exotérmica del explosivo (2,026.67 MPa para la emulsión evaluada).</w:t>
      </w:r>
    </w:p>
    <w:p>
      <w:pPr>
        <w:spacing w:after="120" w:line="276" w:lineRule="auto"/>
        <w:jc w:val="both"/>
      </w:pPr>
      <w:r>
        <w:rPr>
          <w:b/>
        </w:rPr>
        <w:t xml:space="preserve">Presión efectiva desacoplada en pared (Pte): </w:t>
      </w:r>
      <w:r>
        <w:rPr>
          <w:i w:val="0"/>
        </w:rPr>
        <w:t>Presión transmitida a la pared rocosa del barreno tras la expansión radial de los gases en el espacio anular de aire (164.96 MPa en el diseño optimizado).</w:t>
      </w:r>
    </w:p>
    <w:p>
      <w:pPr>
        <w:spacing w:after="120" w:line="276" w:lineRule="auto"/>
        <w:jc w:val="both"/>
      </w:pPr>
      <w:r>
        <w:rPr>
          <w:b/>
        </w:rPr>
        <w:t xml:space="preserve">Prueba t-Student pareada: </w:t>
      </w:r>
      <w:r>
        <w:rPr>
          <w:i w:val="0"/>
        </w:rPr>
        <w:t>Contraste de hipótesis estadístico paramétrico que evalúa si la diferencia media entre dos mediciones cuantitativas tomadas sobre las mismas unidades experimentales es significativamente distinta de cero.</w:t>
      </w:r>
    </w:p>
    <w:p>
      <w:pPr>
        <w:spacing w:after="120" w:line="276" w:lineRule="auto"/>
        <w:jc w:val="both"/>
      </w:pPr>
      <w:r>
        <w:rPr>
          <w:b/>
        </w:rPr>
        <w:t xml:space="preserve">Red Team agéntico (Agente Escéptico): </w:t>
      </w:r>
      <w:r>
        <w:rPr>
          <w:i w:val="0"/>
        </w:rPr>
        <w:t>Módulo autónomo programado con directivas de escepticismo metodológico para detectar inconsistencias geomecánicas, errores de paralelismo o violaciones del criterio Pte &lt;= UCS.</w:t>
      </w:r>
    </w:p>
    <w:p>
      <w:pPr>
        <w:spacing w:after="120" w:line="276" w:lineRule="auto"/>
        <w:jc w:val="both"/>
      </w:pPr>
      <w:r>
        <w:rPr>
          <w:b/>
        </w:rPr>
        <w:t xml:space="preserve">Resistencia a la compresión uniaxial (UCS): </w:t>
      </w:r>
      <w:r>
        <w:rPr>
          <w:i w:val="0"/>
        </w:rPr>
        <w:t>Esfuerzo axial de compresión máximo que puede soportar una probeta cilíndrica de roca intacta antes de experimentar rotura frágil según norma ASTM D7012-14.</w:t>
      </w:r>
    </w:p>
    <w:p>
      <w:pPr>
        <w:spacing w:after="120" w:line="276" w:lineRule="auto"/>
        <w:jc w:val="both"/>
      </w:pPr>
      <w:r>
        <w:rPr>
          <w:b/>
        </w:rPr>
        <w:t xml:space="preserve">Resistencia a la tracción brasileña (Sigma-t): </w:t>
      </w:r>
      <w:r>
        <w:rPr>
          <w:i w:val="0"/>
        </w:rPr>
        <w:t>Esfuerzo de tracción indirecto máximo resistido por un disco de roca intacta sometido a compresión diametral según norma ASTM D3967-16.</w:t>
      </w:r>
    </w:p>
    <w:p>
      <w:pPr>
        <w:spacing w:after="120" w:line="276" w:lineRule="auto"/>
        <w:jc w:val="both"/>
      </w:pPr>
      <w:r>
        <w:rPr>
          <w:b/>
        </w:rPr>
        <w:t xml:space="preserve">Rimado de corte: </w:t>
      </w:r>
      <w:r>
        <w:rPr>
          <w:i w:val="0"/>
        </w:rPr>
        <w:t>Operación de perforación y ensanchamiento mecánico de uno o más barrenos centrales en el arranque para crear una cavidad vacía de alivio volumétrico.</w:t>
      </w:r>
    </w:p>
    <w:p>
      <w:pPr>
        <w:spacing w:after="120" w:line="276" w:lineRule="auto"/>
        <w:jc w:val="both"/>
      </w:pPr>
      <w:r>
        <w:rPr>
          <w:b/>
        </w:rPr>
        <w:t xml:space="preserve">Sobrerotura (Overbreak): </w:t>
      </w:r>
      <w:r>
        <w:rPr>
          <w:i w:val="0"/>
        </w:rPr>
        <w:t>Volumen o porcentaje de roca excavada en exceso por fuera del límite perimétrico teórico proyectado para la sección de la excavación minera.</w:t>
      </w:r>
    </w:p>
    <w:p>
      <w:pPr>
        <w:spacing w:after="120" w:line="276" w:lineRule="auto"/>
        <w:jc w:val="both"/>
      </w:pPr>
      <w:r>
        <w:rPr>
          <w:b/>
        </w:rPr>
        <w:t xml:space="preserve">Tamaño del efecto de Cohen (d): </w:t>
      </w:r>
      <w:r>
        <w:rPr>
          <w:i w:val="0"/>
        </w:rPr>
        <w:t>Medida estadística estandarizada que cuantifica la magnitud real del impacto de un tratamiento experimental independientemente del tamaño de muestra.</w:t>
      </w:r>
    </w:p>
    <w:p>
      <w:pPr>
        <w:spacing w:after="120" w:line="276" w:lineRule="auto"/>
        <w:jc w:val="both"/>
      </w:pPr>
      <w:r>
        <w:rPr>
          <w:b/>
        </w:rPr>
        <w:t xml:space="preserve">Velocidad de detonación (VOD): </w:t>
      </w:r>
      <w:r>
        <w:rPr>
          <w:i w:val="0"/>
        </w:rPr>
        <w:t>Velocidad lineal a la cual se propaga la onda de choque exotérmica a lo largo de la columna de explosivo dentro del barreno (4,000 m/s).</w:t>
      </w:r>
    </w:p>
    <w:p>
      <w:pPr>
        <w:spacing w:after="120" w:line="276" w:lineRule="auto"/>
        <w:jc w:val="both"/>
      </w:pPr>
      <w:r>
        <w:rPr>
          <w:b/>
        </w:rPr>
        <w:t xml:space="preserve">Velocidad pico de partícula (PPV): </w:t>
      </w:r>
      <w:r>
        <w:rPr>
          <w:i w:val="0"/>
        </w:rPr>
        <w:t>Velocidad máxima instantánea alcanzada por una partícula del macizo rocoso al ser perturbada por las ondas sísmicas inducidas por la voladura (mm/s).</w:t>
      </w:r>
    </w:p>
    <w:p>
      <w:pPr>
        <w:spacing w:after="120" w:line="276" w:lineRule="auto"/>
        <w:jc w:val="both"/>
      </w:pPr>
      <w:r>
        <w:rPr>
          <w:b/>
        </w:rPr>
        <w:t xml:space="preserve">Voladura controlada de precorte: </w:t>
      </w:r>
      <w:r>
        <w:rPr>
          <w:i w:val="0"/>
        </w:rPr>
        <w:t>Técnica de ingeniería que genera un plano de fractura perimétrico limpio mediante barrenos desacoplados disparados antes de la masa principal de producción.</w:t>
      </w:r>
    </w:p>
    <w:p>
      <w:pPr>
        <w:spacing w:after="120" w:line="276" w:lineRule="auto"/>
        <w:jc w:val="both"/>
      </w:pPr>
      <w:r>
        <w:rPr>
          <w:b/>
        </w:rPr>
        <w:t xml:space="preserve">Anisotropía estructural: </w:t>
      </w:r>
      <w:r>
        <w:rPr>
          <w:i w:val="0"/>
        </w:rPr>
        <w:t>Variación direccional de las propiedades mecánicas y resistentes del macizo rocoso condicionada por la presencia de familias preferenciales de discontinuidades.</w:t>
      </w:r>
    </w:p>
    <w:p>
      <w:pPr>
        <w:spacing w:after="120" w:line="276" w:lineRule="auto"/>
        <w:jc w:val="both"/>
      </w:pPr>
      <w:r>
        <w:rPr>
          <w:b/>
        </w:rPr>
        <w:t xml:space="preserve">Arco de compresión perimétrico: </w:t>
      </w:r>
      <w:r>
        <w:rPr>
          <w:i w:val="0"/>
        </w:rPr>
        <w:t>Bóveda elástica autoportante inducida alrededor de la excavación subterránea por la redistribución tangencial de los esfuerzos litostáticos in-situ.</w:t>
      </w:r>
    </w:p>
    <w:p>
      <w:pPr>
        <w:spacing w:after="120" w:line="276" w:lineRule="auto"/>
        <w:jc w:val="both"/>
      </w:pPr>
      <w:r>
        <w:rPr>
          <w:b/>
        </w:rPr>
        <w:t xml:space="preserve">Atenuación elasto-dinámica: </w:t>
      </w:r>
      <w:r>
        <w:rPr>
          <w:i w:val="0"/>
        </w:rPr>
        <w:t>Disipación geométrica y viscoelástica de la amplitud de las ondas sísmicas y de choque en función de la distancia al frente de detonación.</w:t>
      </w:r>
    </w:p>
    <w:p>
      <w:pPr>
        <w:spacing w:after="120" w:line="276" w:lineRule="auto"/>
        <w:jc w:val="both"/>
      </w:pPr>
      <w:r>
        <w:rPr>
          <w:b/>
        </w:rPr>
        <w:t xml:space="preserve">Balance estequiométrico de gases: </w:t>
      </w:r>
      <w:r>
        <w:rPr>
          <w:i w:val="0"/>
        </w:rPr>
        <w:t>Proporción molecular de oxígeno en la composición química del explosivo ajustada para garantizar una combustión completa y minimizar la emanación de gases nocivos.</w:t>
      </w:r>
    </w:p>
    <w:p>
      <w:pPr>
        <w:spacing w:after="120" w:line="276" w:lineRule="auto"/>
        <w:jc w:val="both"/>
      </w:pPr>
      <w:r>
        <w:rPr>
          <w:b/>
        </w:rPr>
        <w:t xml:space="preserve">Cartucho cebo o prima: </w:t>
      </w:r>
      <w:r>
        <w:rPr>
          <w:i w:val="0"/>
        </w:rPr>
        <w:t>Cartucho de emulsión altamente sensibilizada que aloja el fulminante o detonador en el fondo del barreno para iniciar la columna explosiva.</w:t>
      </w:r>
    </w:p>
    <w:p>
      <w:pPr>
        <w:spacing w:after="120" w:line="276" w:lineRule="auto"/>
        <w:jc w:val="both"/>
      </w:pPr>
      <w:r>
        <w:rPr>
          <w:b/>
        </w:rPr>
        <w:t xml:space="preserve">Cavitación por onda de choque: </w:t>
      </w:r>
      <w:r>
        <w:rPr>
          <w:i w:val="0"/>
        </w:rPr>
        <w:t>Microfracturamiento inducido en la roca intacta por la reflexión de ondas de compresión en superficies libres adyacentes.</w:t>
      </w:r>
    </w:p>
    <w:p>
      <w:pPr>
        <w:spacing w:after="120" w:line="276" w:lineRule="auto"/>
        <w:jc w:val="both"/>
      </w:pPr>
      <w:r>
        <w:rPr>
          <w:b/>
        </w:rPr>
        <w:t xml:space="preserve">Coeficiente de rugosidad de junta (JRC): </w:t>
      </w:r>
      <w:r>
        <w:rPr>
          <w:i w:val="0"/>
        </w:rPr>
        <w:t>Parámetro empírico del modelo de Barton-Bandis que cuantifica la aspereza geométrica superficial de las paredes de las discontinuidades.</w:t>
      </w:r>
    </w:p>
    <w:p>
      <w:pPr>
        <w:spacing w:after="120" w:line="276" w:lineRule="auto"/>
        <w:jc w:val="both"/>
      </w:pPr>
      <w:r>
        <w:rPr>
          <w:b/>
        </w:rPr>
        <w:t xml:space="preserve">Criterio de rotura de Mohr-Coulomb: </w:t>
      </w:r>
      <w:r>
        <w:rPr>
          <w:i w:val="0"/>
        </w:rPr>
        <w:t>Modelo constitutivo lineal que describe el límite de resistencia al corte de un plano rocoso en función de la cohesión y el ángulo de fricción interna.</w:t>
      </w:r>
    </w:p>
    <w:p>
      <w:pPr>
        <w:spacing w:after="120" w:line="276" w:lineRule="auto"/>
        <w:jc w:val="both"/>
      </w:pPr>
      <w:r>
        <w:rPr>
          <w:b/>
        </w:rPr>
        <w:t xml:space="preserve">Desviación angular de perforación: </w:t>
      </w:r>
      <w:r>
        <w:rPr>
          <w:i w:val="0"/>
        </w:rPr>
        <w:t>Error angular de paralelismo medido entre la trayectoria real del barreno perforado y el eje teórico longitudinal de la labor.</w:t>
      </w:r>
    </w:p>
    <w:p>
      <w:pPr>
        <w:spacing w:after="120" w:line="276" w:lineRule="auto"/>
        <w:jc w:val="both"/>
      </w:pPr>
      <w:r>
        <w:rPr>
          <w:b/>
        </w:rPr>
        <w:t xml:space="preserve">Espaciador plástico centralizador: </w:t>
      </w:r>
      <w:r>
        <w:rPr>
          <w:i w:val="0"/>
        </w:rPr>
        <w:t>Accesorio concéntrico que asegura la posición centrada del cartucho desacoplado dentro del barreno de contorno de 45 mm.</w:t>
      </w:r>
    </w:p>
    <w:p>
      <w:pPr>
        <w:spacing w:after="120" w:line="276" w:lineRule="auto"/>
        <w:jc w:val="both"/>
      </w:pPr>
      <w:r>
        <w:rPr>
          <w:b/>
        </w:rPr>
        <w:t xml:space="preserve">Filtro Statistical Outlier Removal (SOR): </w:t>
      </w:r>
      <w:r>
        <w:rPr>
          <w:i w:val="0"/>
        </w:rPr>
        <w:t>Algoritmo de limpieza de nubes de puntos 3D que elimina mediciones anómalas basándose en la distancia media a los k-vecinos más cercanos.</w:t>
      </w:r>
    </w:p>
    <w:p>
      <w:pPr>
        <w:spacing w:after="120" w:line="276" w:lineRule="auto"/>
        <w:jc w:val="both"/>
      </w:pPr>
      <w:r>
        <w:rPr>
          <w:b/>
        </w:rPr>
        <w:t xml:space="preserve">Frecuencia de impacto de percutora: </w:t>
      </w:r>
      <w:r>
        <w:rPr>
          <w:i w:val="0"/>
        </w:rPr>
        <w:t>Número de golpes mecánicos por segundo que el pistón hidráulico transmite a la sarta de perforación (67 Hz en el modelo Sandvik HLX5).</w:t>
      </w:r>
    </w:p>
    <w:p>
      <w:pPr>
        <w:spacing w:after="120" w:line="276" w:lineRule="auto"/>
        <w:jc w:val="both"/>
      </w:pPr>
      <w:r>
        <w:rPr>
          <w:b/>
        </w:rPr>
        <w:t xml:space="preserve">Horómetro de percusión: </w:t>
      </w:r>
      <w:r>
        <w:rPr>
          <w:i w:val="0"/>
        </w:rPr>
        <w:t>Contador digital que registra el tiempo acumulado de trabajo mecánico efectivo de impacto de la perforadora en el frente de avance.</w:t>
      </w:r>
    </w:p>
    <w:p>
      <w:pPr>
        <w:spacing w:after="120" w:line="276" w:lineRule="auto"/>
        <w:jc w:val="both"/>
      </w:pPr>
      <w:r>
        <w:rPr>
          <w:b/>
        </w:rPr>
        <w:t xml:space="preserve">Módulo de deformabilidad del macizo (Erm): </w:t>
      </w:r>
      <w:r>
        <w:rPr>
          <w:i w:val="0"/>
        </w:rPr>
        <w:t>Rigidez global del macizo rocoso que incorpora la influencia degradante de las discontinuidades y la alteración hidrotermal.</w:t>
      </w:r>
    </w:p>
    <w:p>
      <w:pPr>
        <w:spacing w:after="120" w:line="276" w:lineRule="auto"/>
        <w:jc w:val="both"/>
      </w:pPr>
      <w:r>
        <w:rPr>
          <w:b/>
        </w:rPr>
        <w:t xml:space="preserve">Tenacidad a la flexión en panel circular: </w:t>
      </w:r>
      <w:r>
        <w:rPr>
          <w:i w:val="0"/>
        </w:rPr>
        <w:t>Capacidad de absorción de energía post-agrietamiento del shotcrete con fibra ensayada sobre panel circular apoyado en tres pivotes según ASTM C1550.</w:t>
      </w:r>
    </w:p>
    <w:p>
      <w:pPr>
        <w:keepNext/>
        <w:spacing w:before="280" w:after="80"/>
        <w:jc w:val="left"/>
      </w:pPr>
      <w:r>
        <w:rPr>
          <w:b/>
          <w:sz w:val="24"/>
        </w:rPr>
        <w:t>4. METODOLOGÍA: UNIDAD DE ANÁLISIS</w:t>
      </w:r>
    </w:p>
    <w:p>
      <w:pPr>
        <w:spacing w:after="120" w:line="276" w:lineRule="auto"/>
        <w:jc w:val="both"/>
      </w:pPr>
      <w:r>
        <w:rPr>
          <w:i w:val="0"/>
        </w:rPr>
        <w:t>La unidad de análisis está constituida por los frentes de avance horizontal mecanizado en cruceros de exploración y galerías de extracción en sección tipo baúl de 4.50 m de ancho por 4.50 m de altura (flecha de arco = 1.25 m, área nominal = 19.04 m²) pertenecientes a los Niveles 4, 6, 8, 10 y 12 de la U.E.A. Lincuna (Cruceros 100, 120, 140, 160 y 180), perforados en macizo rocoso volcánico Tipo III-B/IV-A con jumbos Sandvik DD321 y barras de 12 pies.</w:t>
      </w:r>
    </w:p>
    <w:p>
      <w:pPr>
        <w:keepNext/>
        <w:spacing w:before="160" w:after="40"/>
        <w:jc w:val="center"/>
      </w:pPr>
      <w:r>
        <w:rPr>
          <w:b/>
        </w:rPr>
        <w:t>Tabla 5</w:t>
      </w:r>
    </w:p>
    <w:p>
      <w:pPr>
        <w:keepNext/>
        <w:spacing w:after="120"/>
        <w:jc w:val="center"/>
      </w:pPr>
      <w:r>
        <w:rPr>
          <w:i/>
        </w:rPr>
        <w:t>Parámetros Geomecánicos y Operativos Detallados de la Unidad de Análisis (U.E.A. Lincuna).</w:t>
      </w:r>
    </w:p>
    <w:tbl>
      <w:tblPr>
        <w:tblW w:type="auto" w:w="0"/>
        <w:jc w:val="center"/>
        <w:tblLook w:firstColumn="1" w:firstRow="1" w:lastColumn="0" w:lastRow="0" w:noHBand="0" w:noVBand="1" w:val="04A0"/>
      </w:tblPr>
      <w:tblGrid>
        <w:gridCol w:w="2929"/>
        <w:gridCol w:w="2929"/>
        <w:gridCol w:w="2929"/>
      </w:tblGrid>
      <w:tr>
        <w:tc>
          <w:tcPr>
            <w:tcW w:type="dxa" w:w="2929"/>
            <w:shd w:fill="0D233A"/>
          </w:tcPr>
          <w:p>
            <w:r>
              <w:rPr>
                <w:b/>
                <w:color w:val="FFFFFF"/>
                <w:sz w:val="17"/>
              </w:rPr>
              <w:t>Parámetro de la Unidad de Análisis</w:t>
            </w:r>
          </w:p>
        </w:tc>
        <w:tc>
          <w:tcPr>
            <w:tcW w:type="dxa" w:w="2929"/>
            <w:shd w:fill="0D233A"/>
          </w:tcPr>
          <w:p>
            <w:r>
              <w:rPr>
                <w:b/>
                <w:color w:val="FFFFFF"/>
                <w:sz w:val="17"/>
              </w:rPr>
              <w:t>Valor / Especificación Operativa</w:t>
            </w:r>
          </w:p>
        </w:tc>
        <w:tc>
          <w:tcPr>
            <w:tcW w:type="dxa" w:w="2929"/>
            <w:shd w:fill="0D233A"/>
          </w:tcPr>
          <w:p>
            <w:r>
              <w:rPr>
                <w:b/>
                <w:color w:val="FFFFFF"/>
                <w:sz w:val="17"/>
              </w:rPr>
              <w:t>Estándar / Fuente</w:t>
            </w:r>
          </w:p>
        </w:tc>
      </w:tr>
      <w:tr>
        <w:tc>
          <w:tcPr>
            <w:tcW w:type="dxa" w:w="2929"/>
          </w:tcPr>
          <w:p>
            <w:r>
              <w:rPr>
                <w:sz w:val="16"/>
              </w:rPr>
              <w:t>Ubicación Geográfica</w:t>
            </w:r>
          </w:p>
        </w:tc>
        <w:tc>
          <w:tcPr>
            <w:tcW w:type="dxa" w:w="2929"/>
          </w:tcPr>
          <w:p>
            <w:r>
              <w:rPr>
                <w:sz w:val="16"/>
              </w:rPr>
              <w:t>Distrito de Ticapampa, Recuay, Áncash (4,200 - 4,650 msnm)</w:t>
            </w:r>
          </w:p>
        </w:tc>
        <w:tc>
          <w:tcPr>
            <w:tcW w:type="dxa" w:w="2929"/>
          </w:tcPr>
          <w:p>
            <w:r>
              <w:rPr>
                <w:sz w:val="16"/>
              </w:rPr>
              <w:t>Cía. Minera Lincuna S.A.</w:t>
            </w:r>
          </w:p>
        </w:tc>
      </w:tr>
      <w:tr>
        <w:tc>
          <w:tcPr>
            <w:tcW w:type="dxa" w:w="2929"/>
            <w:shd w:fill="F8F9FA"/>
          </w:tcPr>
          <w:p>
            <w:r>
              <w:rPr>
                <w:sz w:val="16"/>
              </w:rPr>
              <w:t>Geometría de la Labor</w:t>
            </w:r>
          </w:p>
        </w:tc>
        <w:tc>
          <w:tcPr>
            <w:tcW w:type="dxa" w:w="2929"/>
            <w:shd w:fill="F8F9FA"/>
          </w:tcPr>
          <w:p>
            <w:r>
              <w:rPr>
                <w:sz w:val="16"/>
              </w:rPr>
              <w:t>Sección tipo Baúl 4.50 m × 4.50 m (Área = 19.04 m²)</w:t>
            </w:r>
          </w:p>
        </w:tc>
        <w:tc>
          <w:tcPr>
            <w:tcW w:type="dxa" w:w="2929"/>
            <w:shd w:fill="F8F9FA"/>
          </w:tcPr>
          <w:p>
            <w:r>
              <w:rPr>
                <w:sz w:val="16"/>
              </w:rPr>
              <w:t>Plano de Planeamiento</w:t>
            </w:r>
          </w:p>
        </w:tc>
      </w:tr>
      <w:tr>
        <w:tc>
          <w:tcPr>
            <w:tcW w:type="dxa" w:w="2929"/>
          </w:tcPr>
          <w:p>
            <w:r>
              <w:rPr>
                <w:sz w:val="16"/>
              </w:rPr>
              <w:t>Litología Predominante</w:t>
            </w:r>
          </w:p>
        </w:tc>
        <w:tc>
          <w:tcPr>
            <w:tcW w:type="dxa" w:w="2929"/>
          </w:tcPr>
          <w:p>
            <w:r>
              <w:rPr>
                <w:sz w:val="16"/>
              </w:rPr>
              <w:t>Andesitas y dacitas porfiríticas del Grupo Calipuy</w:t>
            </w:r>
          </w:p>
        </w:tc>
        <w:tc>
          <w:tcPr>
            <w:tcW w:type="dxa" w:w="2929"/>
          </w:tcPr>
          <w:p>
            <w:r>
              <w:rPr>
                <w:sz w:val="16"/>
              </w:rPr>
              <w:t>Mapeo Geológico</w:t>
            </w:r>
          </w:p>
        </w:tc>
      </w:tr>
      <w:tr>
        <w:tc>
          <w:tcPr>
            <w:tcW w:type="dxa" w:w="2929"/>
            <w:shd w:fill="F8F9FA"/>
          </w:tcPr>
          <w:p>
            <w:r>
              <w:rPr>
                <w:sz w:val="16"/>
              </w:rPr>
              <w:t>Calidad Geomecánica</w:t>
            </w:r>
          </w:p>
        </w:tc>
        <w:tc>
          <w:tcPr>
            <w:tcW w:type="dxa" w:w="2929"/>
            <w:shd w:fill="F8F9FA"/>
          </w:tcPr>
          <w:p>
            <w:r>
              <w:rPr>
                <w:sz w:val="16"/>
              </w:rPr>
              <w:t>Clase III-B / IV-A (RMR 89 = 55.5, GSI = 50, RQD = 60%)</w:t>
            </w:r>
          </w:p>
        </w:tc>
        <w:tc>
          <w:tcPr>
            <w:tcW w:type="dxa" w:w="2929"/>
            <w:shd w:fill="F8F9FA"/>
          </w:tcPr>
          <w:p>
            <w:r>
              <w:rPr>
                <w:sz w:val="16"/>
              </w:rPr>
              <w:t>Bieniawski (1989)</w:t>
            </w:r>
          </w:p>
        </w:tc>
      </w:tr>
      <w:tr>
        <w:tc>
          <w:tcPr>
            <w:tcW w:type="dxa" w:w="2929"/>
          </w:tcPr>
          <w:p>
            <w:r>
              <w:rPr>
                <w:sz w:val="16"/>
              </w:rPr>
              <w:t>Resistencia Compresión (UCS)</w:t>
            </w:r>
          </w:p>
        </w:tc>
        <w:tc>
          <w:tcPr>
            <w:tcW w:type="dxa" w:w="2929"/>
          </w:tcPr>
          <w:p>
            <w:r>
              <w:rPr>
                <w:sz w:val="16"/>
              </w:rPr>
              <w:t>180.05 ± 12.40 MPa</w:t>
            </w:r>
          </w:p>
        </w:tc>
        <w:tc>
          <w:tcPr>
            <w:tcW w:type="dxa" w:w="2929"/>
          </w:tcPr>
          <w:p>
            <w:r>
              <w:rPr>
                <w:sz w:val="16"/>
              </w:rPr>
              <w:t>ASTM D7012-14 (UNI)</w:t>
            </w:r>
          </w:p>
        </w:tc>
      </w:tr>
      <w:tr>
        <w:tc>
          <w:tcPr>
            <w:tcW w:type="dxa" w:w="2929"/>
            <w:shd w:fill="F8F9FA"/>
          </w:tcPr>
          <w:p>
            <w:r>
              <w:rPr>
                <w:sz w:val="16"/>
              </w:rPr>
              <w:t>Resistencia Tracción (σt)</w:t>
            </w:r>
          </w:p>
        </w:tc>
        <w:tc>
          <w:tcPr>
            <w:tcW w:type="dxa" w:w="2929"/>
            <w:shd w:fill="F8F9FA"/>
          </w:tcPr>
          <w:p>
            <w:r>
              <w:rPr>
                <w:sz w:val="16"/>
              </w:rPr>
              <w:t>12.15 ± 1.10 MPa</w:t>
            </w:r>
          </w:p>
        </w:tc>
        <w:tc>
          <w:tcPr>
            <w:tcW w:type="dxa" w:w="2929"/>
            <w:shd w:fill="F8F9FA"/>
          </w:tcPr>
          <w:p>
            <w:r>
              <w:rPr>
                <w:sz w:val="16"/>
              </w:rPr>
              <w:t>ASTM D3967-16 (UNI)</w:t>
            </w:r>
          </w:p>
        </w:tc>
      </w:tr>
      <w:tr>
        <w:tc>
          <w:tcPr>
            <w:tcW w:type="dxa" w:w="2929"/>
          </w:tcPr>
          <w:p>
            <w:r>
              <w:rPr>
                <w:sz w:val="16"/>
              </w:rPr>
              <w:t>Equipo de Perforación</w:t>
            </w:r>
          </w:p>
        </w:tc>
        <w:tc>
          <w:tcPr>
            <w:tcW w:type="dxa" w:w="2929"/>
          </w:tcPr>
          <w:p>
            <w:r>
              <w:rPr>
                <w:sz w:val="16"/>
              </w:rPr>
              <w:t>Jumbo Sandvik DD321 (2 plumas SB40, percutoras HLX5 de 20 kW)</w:t>
            </w:r>
          </w:p>
        </w:tc>
        <w:tc>
          <w:tcPr>
            <w:tcW w:type="dxa" w:w="2929"/>
          </w:tcPr>
          <w:p>
            <w:r>
              <w:rPr>
                <w:sz w:val="16"/>
              </w:rPr>
              <w:t>Ficha Sandvik</w:t>
            </w:r>
          </w:p>
        </w:tc>
      </w:tr>
      <w:tr>
        <w:tc>
          <w:tcPr>
            <w:tcW w:type="dxa" w:w="2929"/>
            <w:shd w:fill="F8F9FA"/>
          </w:tcPr>
          <w:p>
            <w:r>
              <w:rPr>
                <w:sz w:val="16"/>
              </w:rPr>
              <w:t>Diámetros de Perforación</w:t>
            </w:r>
          </w:p>
        </w:tc>
        <w:tc>
          <w:tcPr>
            <w:tcW w:type="dxa" w:w="2929"/>
            <w:shd w:fill="F8F9FA"/>
          </w:tcPr>
          <w:p>
            <w:r>
              <w:rPr>
                <w:sz w:val="16"/>
              </w:rPr>
              <w:t>Producción: 45 mm (D1) | Alivio Central Escariado: 102 mm (D2)</w:t>
            </w:r>
          </w:p>
        </w:tc>
        <w:tc>
          <w:tcPr>
            <w:tcW w:type="dxa" w:w="2929"/>
            <w:shd w:fill="F8F9FA"/>
          </w:tcPr>
          <w:p>
            <w:r>
              <w:rPr>
                <w:sz w:val="16"/>
              </w:rPr>
              <w:t>Sarta Sandvik R32</w:t>
            </w:r>
          </w:p>
        </w:tc>
      </w:tr>
      <w:tr>
        <w:tc>
          <w:tcPr>
            <w:tcW w:type="dxa" w:w="2929"/>
          </w:tcPr>
          <w:p>
            <w:r>
              <w:rPr>
                <w:sz w:val="16"/>
              </w:rPr>
              <w:t>Longitud de Barreno</w:t>
            </w:r>
          </w:p>
        </w:tc>
        <w:tc>
          <w:tcPr>
            <w:tcW w:type="dxa" w:w="2929"/>
          </w:tcPr>
          <w:p>
            <w:r>
              <w:rPr>
                <w:sz w:val="16"/>
              </w:rPr>
              <w:t>Hp = 3.66 m (Barras de 12 pies) | Avance efectivo = 3.22 m</w:t>
            </w:r>
          </w:p>
        </w:tc>
        <w:tc>
          <w:tcPr>
            <w:tcW w:type="dxa" w:w="2929"/>
          </w:tcPr>
          <w:p>
            <w:r>
              <w:rPr>
                <w:sz w:val="16"/>
              </w:rPr>
              <w:t>Base `1. BD AVANCES`</w:t>
            </w:r>
          </w:p>
        </w:tc>
      </w:tr>
    </w:tbl>
    <w:p>
      <w:pPr>
        <w:spacing w:after="120" w:line="276" w:lineRule="auto"/>
        <w:jc w:val="both"/>
      </w:pPr>
      <w:r>
        <w:rPr>
          <w:i w:val="0"/>
        </w:rPr>
        <w:t>A fin de caracterizar exhaustivamente la variabilidad espacial y estructural del macizo rocoso en los frentes de prueba, se presenta a continuación el detalle geomecánico de los cinco cruceros evaluados durante el programa cuasiexperimental de 30 disparos instrumentados:</w:t>
      </w:r>
    </w:p>
    <w:p>
      <w:pPr>
        <w:keepNext/>
        <w:spacing w:before="160" w:after="40"/>
        <w:jc w:val="center"/>
      </w:pPr>
      <w:r>
        <w:rPr>
          <w:b/>
        </w:rPr>
        <w:t>Tabla 6</w:t>
      </w:r>
    </w:p>
    <w:p>
      <w:pPr>
        <w:keepNext/>
        <w:spacing w:after="120"/>
        <w:jc w:val="center"/>
      </w:pPr>
      <w:r>
        <w:rPr>
          <w:i/>
        </w:rPr>
        <w:t>Caracterización Geomecánica y Operativa de los Cinco Cruceros de Prueba (U.E.A. Lincuna).</w:t>
      </w:r>
    </w:p>
    <w:tbl>
      <w:tblPr>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fill="0D233A"/>
          </w:tcPr>
          <w:p>
            <w:r>
              <w:rPr>
                <w:b/>
                <w:color w:val="FFFFFF"/>
                <w:sz w:val="17"/>
              </w:rPr>
              <w:t>Labor / Crucero</w:t>
            </w:r>
          </w:p>
        </w:tc>
        <w:tc>
          <w:tcPr>
            <w:tcW w:type="dxa" w:w="1465"/>
            <w:shd w:fill="0D233A"/>
          </w:tcPr>
          <w:p>
            <w:r>
              <w:rPr>
                <w:b/>
                <w:color w:val="FFFFFF"/>
                <w:sz w:val="17"/>
              </w:rPr>
              <w:t>Nivel Minero</w:t>
            </w:r>
          </w:p>
        </w:tc>
        <w:tc>
          <w:tcPr>
            <w:tcW w:type="dxa" w:w="1465"/>
            <w:shd w:fill="0D233A"/>
          </w:tcPr>
          <w:p>
            <w:r>
              <w:rPr>
                <w:b/>
                <w:color w:val="FFFFFF"/>
                <w:sz w:val="17"/>
              </w:rPr>
              <w:t>Litología Local</w:t>
            </w:r>
          </w:p>
        </w:tc>
        <w:tc>
          <w:tcPr>
            <w:tcW w:type="dxa" w:w="1465"/>
            <w:shd w:fill="0D233A"/>
          </w:tcPr>
          <w:p>
            <w:r>
              <w:rPr>
                <w:b/>
                <w:color w:val="FFFFFF"/>
                <w:sz w:val="17"/>
              </w:rPr>
              <w:t>RMR 89</w:t>
            </w:r>
          </w:p>
        </w:tc>
        <w:tc>
          <w:tcPr>
            <w:tcW w:type="dxa" w:w="1465"/>
            <w:shd w:fill="0D233A"/>
          </w:tcPr>
          <w:p>
            <w:r>
              <w:rPr>
                <w:b/>
                <w:color w:val="FFFFFF"/>
                <w:sz w:val="17"/>
              </w:rPr>
              <w:t>GSI</w:t>
            </w:r>
          </w:p>
        </w:tc>
        <w:tc>
          <w:tcPr>
            <w:tcW w:type="dxa" w:w="1465"/>
            <w:shd w:fill="0D233A"/>
          </w:tcPr>
          <w:p>
            <w:r>
              <w:rPr>
                <w:b/>
                <w:color w:val="FFFFFF"/>
                <w:sz w:val="17"/>
              </w:rPr>
              <w:t>Presencia de Agua</w:t>
            </w:r>
          </w:p>
        </w:tc>
      </w:tr>
      <w:tr>
        <w:tc>
          <w:tcPr>
            <w:tcW w:type="dxa" w:w="1465"/>
          </w:tcPr>
          <w:p>
            <w:r>
              <w:rPr>
                <w:sz w:val="16"/>
              </w:rPr>
              <w:t>Crucero 100</w:t>
            </w:r>
          </w:p>
        </w:tc>
        <w:tc>
          <w:tcPr>
            <w:tcW w:type="dxa" w:w="1465"/>
          </w:tcPr>
          <w:p>
            <w:r>
              <w:rPr>
                <w:sz w:val="16"/>
              </w:rPr>
              <w:t>Nivel 4 (4,450 msnm)</w:t>
            </w:r>
          </w:p>
        </w:tc>
        <w:tc>
          <w:tcPr>
            <w:tcW w:type="dxa" w:w="1465"/>
          </w:tcPr>
          <w:p>
            <w:r>
              <w:rPr>
                <w:sz w:val="16"/>
              </w:rPr>
              <w:t>Andesita porfirítica masiva</w:t>
            </w:r>
          </w:p>
        </w:tc>
        <w:tc>
          <w:tcPr>
            <w:tcW w:type="dxa" w:w="1465"/>
          </w:tcPr>
          <w:p>
            <w:r>
              <w:rPr>
                <w:sz w:val="16"/>
              </w:rPr>
              <w:t>58 (III-A)</w:t>
            </w:r>
          </w:p>
        </w:tc>
        <w:tc>
          <w:tcPr>
            <w:tcW w:type="dxa" w:w="1465"/>
          </w:tcPr>
          <w:p>
            <w:r>
              <w:rPr>
                <w:sz w:val="16"/>
              </w:rPr>
              <w:t>55</w:t>
            </w:r>
          </w:p>
        </w:tc>
        <w:tc>
          <w:tcPr>
            <w:tcW w:type="dxa" w:w="1465"/>
          </w:tcPr>
          <w:p>
            <w:r>
              <w:rPr>
                <w:sz w:val="16"/>
              </w:rPr>
              <w:t>Seco a Húmedo</w:t>
            </w:r>
          </w:p>
        </w:tc>
      </w:tr>
      <w:tr>
        <w:tc>
          <w:tcPr>
            <w:tcW w:type="dxa" w:w="1465"/>
            <w:shd w:fill="F8F9FA"/>
          </w:tcPr>
          <w:p>
            <w:r>
              <w:rPr>
                <w:sz w:val="16"/>
              </w:rPr>
              <w:t>Crucero 120</w:t>
            </w:r>
          </w:p>
        </w:tc>
        <w:tc>
          <w:tcPr>
            <w:tcW w:type="dxa" w:w="1465"/>
            <w:shd w:fill="F8F9FA"/>
          </w:tcPr>
          <w:p>
            <w:r>
              <w:rPr>
                <w:sz w:val="16"/>
              </w:rPr>
              <w:t>Nivel 6 (4,390 msnm)</w:t>
            </w:r>
          </w:p>
        </w:tc>
        <w:tc>
          <w:tcPr>
            <w:tcW w:type="dxa" w:w="1465"/>
            <w:shd w:fill="F8F9FA"/>
          </w:tcPr>
          <w:p>
            <w:r>
              <w:rPr>
                <w:sz w:val="16"/>
              </w:rPr>
              <w:t>Andesita con alteración propilítica</w:t>
            </w:r>
          </w:p>
        </w:tc>
        <w:tc>
          <w:tcPr>
            <w:tcW w:type="dxa" w:w="1465"/>
            <w:shd w:fill="F8F9FA"/>
          </w:tcPr>
          <w:p>
            <w:r>
              <w:rPr>
                <w:sz w:val="16"/>
              </w:rPr>
              <w:t>55 (III-B)</w:t>
            </w:r>
          </w:p>
        </w:tc>
        <w:tc>
          <w:tcPr>
            <w:tcW w:type="dxa" w:w="1465"/>
            <w:shd w:fill="F8F9FA"/>
          </w:tcPr>
          <w:p>
            <w:r>
              <w:rPr>
                <w:sz w:val="16"/>
              </w:rPr>
              <w:t>50</w:t>
            </w:r>
          </w:p>
        </w:tc>
        <w:tc>
          <w:tcPr>
            <w:tcW w:type="dxa" w:w="1465"/>
            <w:shd w:fill="F8F9FA"/>
          </w:tcPr>
          <w:p>
            <w:r>
              <w:rPr>
                <w:sz w:val="16"/>
              </w:rPr>
              <w:t>Húmedo (goteo local)</w:t>
            </w:r>
          </w:p>
        </w:tc>
      </w:tr>
      <w:tr>
        <w:tc>
          <w:tcPr>
            <w:tcW w:type="dxa" w:w="1465"/>
          </w:tcPr>
          <w:p>
            <w:r>
              <w:rPr>
                <w:sz w:val="16"/>
              </w:rPr>
              <w:t>Crucero 140</w:t>
            </w:r>
          </w:p>
        </w:tc>
        <w:tc>
          <w:tcPr>
            <w:tcW w:type="dxa" w:w="1465"/>
          </w:tcPr>
          <w:p>
            <w:r>
              <w:rPr>
                <w:sz w:val="16"/>
              </w:rPr>
              <w:t>Nivel 8 (4,330 msnm)</w:t>
            </w:r>
          </w:p>
        </w:tc>
        <w:tc>
          <w:tcPr>
            <w:tcW w:type="dxa" w:w="1465"/>
          </w:tcPr>
          <w:p>
            <w:r>
              <w:rPr>
                <w:sz w:val="16"/>
              </w:rPr>
              <w:t>Dacita porfirítica compacta</w:t>
            </w:r>
          </w:p>
        </w:tc>
        <w:tc>
          <w:tcPr>
            <w:tcW w:type="dxa" w:w="1465"/>
          </w:tcPr>
          <w:p>
            <w:r>
              <w:rPr>
                <w:sz w:val="16"/>
              </w:rPr>
              <w:t>56 (III-B)</w:t>
            </w:r>
          </w:p>
        </w:tc>
        <w:tc>
          <w:tcPr>
            <w:tcW w:type="dxa" w:w="1465"/>
          </w:tcPr>
          <w:p>
            <w:r>
              <w:rPr>
                <w:sz w:val="16"/>
              </w:rPr>
              <w:t>52</w:t>
            </w:r>
          </w:p>
        </w:tc>
        <w:tc>
          <w:tcPr>
            <w:tcW w:type="dxa" w:w="1465"/>
          </w:tcPr>
          <w:p>
            <w:r>
              <w:rPr>
                <w:sz w:val="16"/>
              </w:rPr>
              <w:t>Seco</w:t>
            </w:r>
          </w:p>
        </w:tc>
      </w:tr>
      <w:tr>
        <w:tc>
          <w:tcPr>
            <w:tcW w:type="dxa" w:w="1465"/>
            <w:shd w:fill="F8F9FA"/>
          </w:tcPr>
          <w:p>
            <w:r>
              <w:rPr>
                <w:sz w:val="16"/>
              </w:rPr>
              <w:t>Crucero 160</w:t>
            </w:r>
          </w:p>
        </w:tc>
        <w:tc>
          <w:tcPr>
            <w:tcW w:type="dxa" w:w="1465"/>
            <w:shd w:fill="F8F9FA"/>
          </w:tcPr>
          <w:p>
            <w:r>
              <w:rPr>
                <w:sz w:val="16"/>
              </w:rPr>
              <w:t>Nivel 10 (4,270 msnm)</w:t>
            </w:r>
          </w:p>
        </w:tc>
        <w:tc>
          <w:tcPr>
            <w:tcW w:type="dxa" w:w="1465"/>
            <w:shd w:fill="F8F9FA"/>
          </w:tcPr>
          <w:p>
            <w:r>
              <w:rPr>
                <w:sz w:val="16"/>
              </w:rPr>
              <w:t>Andesita fracturada con clorita</w:t>
            </w:r>
          </w:p>
        </w:tc>
        <w:tc>
          <w:tcPr>
            <w:tcW w:type="dxa" w:w="1465"/>
            <w:shd w:fill="F8F9FA"/>
          </w:tcPr>
          <w:p>
            <w:r>
              <w:rPr>
                <w:sz w:val="16"/>
              </w:rPr>
              <w:t>52 (III-B)</w:t>
            </w:r>
          </w:p>
        </w:tc>
        <w:tc>
          <w:tcPr>
            <w:tcW w:type="dxa" w:w="1465"/>
            <w:shd w:fill="F8F9FA"/>
          </w:tcPr>
          <w:p>
            <w:r>
              <w:rPr>
                <w:sz w:val="16"/>
              </w:rPr>
              <w:t>48</w:t>
            </w:r>
          </w:p>
        </w:tc>
        <w:tc>
          <w:tcPr>
            <w:tcW w:type="dxa" w:w="1465"/>
            <w:shd w:fill="F8F9FA"/>
          </w:tcPr>
          <w:p>
            <w:r>
              <w:rPr>
                <w:sz w:val="16"/>
              </w:rPr>
              <w:t>Húmedo (flujo &lt; 5 L/min)</w:t>
            </w:r>
          </w:p>
        </w:tc>
      </w:tr>
      <w:tr>
        <w:tc>
          <w:tcPr>
            <w:tcW w:type="dxa" w:w="1465"/>
          </w:tcPr>
          <w:p>
            <w:r>
              <w:rPr>
                <w:sz w:val="16"/>
              </w:rPr>
              <w:t>Crucero 180</w:t>
            </w:r>
          </w:p>
        </w:tc>
        <w:tc>
          <w:tcPr>
            <w:tcW w:type="dxa" w:w="1465"/>
          </w:tcPr>
          <w:p>
            <w:r>
              <w:rPr>
                <w:sz w:val="16"/>
              </w:rPr>
              <w:t>Nivel 12 (4,210 msnm)</w:t>
            </w:r>
          </w:p>
        </w:tc>
        <w:tc>
          <w:tcPr>
            <w:tcW w:type="dxa" w:w="1465"/>
          </w:tcPr>
          <w:p>
            <w:r>
              <w:rPr>
                <w:sz w:val="16"/>
              </w:rPr>
              <w:t>Brecha volcánica andesítica</w:t>
            </w:r>
          </w:p>
        </w:tc>
        <w:tc>
          <w:tcPr>
            <w:tcW w:type="dxa" w:w="1465"/>
          </w:tcPr>
          <w:p>
            <w:r>
              <w:rPr>
                <w:sz w:val="16"/>
              </w:rPr>
              <w:t>54 (III-B)</w:t>
            </w:r>
          </w:p>
        </w:tc>
        <w:tc>
          <w:tcPr>
            <w:tcW w:type="dxa" w:w="1465"/>
          </w:tcPr>
          <w:p>
            <w:r>
              <w:rPr>
                <w:sz w:val="16"/>
              </w:rPr>
              <w:t>50</w:t>
            </w:r>
          </w:p>
        </w:tc>
        <w:tc>
          <w:tcPr>
            <w:tcW w:type="dxa" w:w="1465"/>
          </w:tcPr>
          <w:p>
            <w:r>
              <w:rPr>
                <w:sz w:val="16"/>
              </w:rPr>
              <w:t>Seco a Húmedo</w:t>
            </w:r>
          </w:p>
        </w:tc>
      </w:tr>
    </w:tbl>
    <w:p>
      <w:pPr>
        <w:keepNext/>
        <w:spacing w:before="280" w:after="80"/>
        <w:jc w:val="left"/>
      </w:pPr>
      <w:r>
        <w:rPr>
          <w:b/>
          <w:sz w:val="24"/>
        </w:rPr>
        <w:t>5. METODOLOGÍA: ETAPAS DE LA INVESTIGACIÓN</w:t>
      </w:r>
    </w:p>
    <w:p>
      <w:pPr>
        <w:keepNext/>
        <w:spacing w:before="220" w:after="60"/>
        <w:jc w:val="left"/>
      </w:pPr>
      <w:r>
        <w:rPr>
          <w:b/>
          <w:sz w:val="22"/>
        </w:rPr>
        <w:t>5.1. Recolección de Datos</w:t>
      </w:r>
    </w:p>
    <w:p>
      <w:pPr>
        <w:spacing w:after="120" w:line="276" w:lineRule="auto"/>
        <w:jc w:val="both"/>
      </w:pPr>
      <w:r>
        <w:rPr>
          <w:i w:val="0"/>
        </w:rPr>
        <w:t>La recolección de información primaria y secundaria se estructurará a partir de cinco fuentes operacionales de datos reales de la mina:</w:t>
      </w:r>
    </w:p>
    <w:p>
      <w:pPr>
        <w:pStyle w:val="ListBullet"/>
        <w:spacing w:after="80" w:line="276" w:lineRule="auto"/>
        <w:jc w:val="both"/>
      </w:pPr>
      <w:r>
        <w:rPr>
          <w:b/>
        </w:rPr>
        <w:t xml:space="preserve">1. Base de Datos de Avances (`1. BD AVANCES.xlsx`): </w:t>
      </w:r>
      <w:r>
        <w:t>Registro sistemático de longitud perforada, avance efectivo lineal y volumen excavado por turno y crucero.</w:t>
      </w:r>
    </w:p>
    <w:p>
      <w:pPr>
        <w:pStyle w:val="ListBullet"/>
        <w:spacing w:after="80" w:line="276" w:lineRule="auto"/>
        <w:jc w:val="both"/>
      </w:pPr>
      <w:r>
        <w:rPr>
          <w:b/>
        </w:rPr>
        <w:t xml:space="preserve">2. Reportes Diarios de Voladura (`2. REPORTE DE VOLADURA  2026.xlsx`): </w:t>
      </w:r>
      <w:r>
        <w:t>Detalle de taladros cargados, tipo de emulsión (22/32 mm), accesorios de detonación Dual Det y factor de potencia puntual.</w:t>
      </w:r>
    </w:p>
    <w:p>
      <w:pPr>
        <w:pStyle w:val="ListBullet"/>
        <w:spacing w:after="80" w:line="276" w:lineRule="auto"/>
        <w:jc w:val="both"/>
      </w:pPr>
      <w:r>
        <w:rPr>
          <w:b/>
        </w:rPr>
        <w:t xml:space="preserve">3. Base de Datos de Jumbos (`3. BD TL JUMBOS 2026.xlsx`): </w:t>
      </w:r>
      <w:r>
        <w:t>Presiones de percusión (180 bar), rotación (55 bar), velocidad de penetración (1.85 m/min) y horómetros.</w:t>
      </w:r>
    </w:p>
    <w:p>
      <w:pPr>
        <w:pStyle w:val="ListBullet"/>
        <w:spacing w:after="80" w:line="276" w:lineRule="auto"/>
        <w:jc w:val="both"/>
      </w:pPr>
      <w:r>
        <w:rPr>
          <w:b/>
        </w:rPr>
        <w:t xml:space="preserve">4. Base de Datos de Limpieza (`5. BD-SCOOP 2026.xlsx`): </w:t>
      </w:r>
      <w:r>
        <w:t>Tiempos de ciclo de carguío y acarreo con scooptramps Cat R1600 (6 yd³) y volquetes dumper de 20 TM.</w:t>
      </w:r>
    </w:p>
    <w:p>
      <w:pPr>
        <w:pStyle w:val="ListBullet"/>
        <w:spacing w:after="80" w:line="276" w:lineRule="auto"/>
        <w:jc w:val="both"/>
      </w:pPr>
      <w:r>
        <w:rPr>
          <w:b/>
        </w:rPr>
        <w:t xml:space="preserve">5. Base de Datos de Sostenimiento (`6. BD SOSTENIMIENTO METALICO.xlsx`): </w:t>
      </w:r>
      <w:r>
        <w:t>Consumo cúbico de shotcrete vía húmeda robotizado y número de pernos de fricción Split Set instalados.</w:t>
      </w:r>
    </w:p>
    <w:p>
      <w:pPr>
        <w:keepNext/>
        <w:spacing w:before="160" w:after="40"/>
        <w:jc w:val="center"/>
      </w:pPr>
      <w:r>
        <w:rPr>
          <w:b/>
        </w:rPr>
        <w:t>Tabla 7</w:t>
      </w:r>
    </w:p>
    <w:p>
      <w:pPr>
        <w:keepNext/>
        <w:spacing w:after="120"/>
        <w:jc w:val="center"/>
      </w:pPr>
      <w:r>
        <w:rPr>
          <w:i/>
        </w:rPr>
        <w:t>Estructura y Variables Clave de las Cinco Bases de Datos Operacionales de Lincuna.</w:t>
      </w:r>
    </w:p>
    <w:tbl>
      <w:tblPr>
        <w:tblW w:type="auto" w:w="0"/>
        <w:jc w:val="center"/>
        <w:tblLook w:firstColumn="1" w:firstRow="1" w:lastColumn="0" w:lastRow="0" w:noHBand="0" w:noVBand="1" w:val="04A0"/>
      </w:tblPr>
      <w:tblGrid>
        <w:gridCol w:w="2197"/>
        <w:gridCol w:w="2197"/>
        <w:gridCol w:w="2197"/>
        <w:gridCol w:w="2197"/>
      </w:tblGrid>
      <w:tr>
        <w:tc>
          <w:tcPr>
            <w:tcW w:type="dxa" w:w="2197"/>
            <w:shd w:fill="0D233A"/>
          </w:tcPr>
          <w:p>
            <w:r>
              <w:rPr>
                <w:b/>
                <w:color w:val="FFFFFF"/>
                <w:sz w:val="17"/>
              </w:rPr>
              <w:t>Archivo Excel de Mina</w:t>
            </w:r>
          </w:p>
        </w:tc>
        <w:tc>
          <w:tcPr>
            <w:tcW w:type="dxa" w:w="2197"/>
            <w:shd w:fill="0D233A"/>
          </w:tcPr>
          <w:p>
            <w:r>
              <w:rPr>
                <w:b/>
                <w:color w:val="FFFFFF"/>
                <w:sz w:val="17"/>
              </w:rPr>
              <w:t>Entidad Operacional</w:t>
            </w:r>
          </w:p>
        </w:tc>
        <w:tc>
          <w:tcPr>
            <w:tcW w:type="dxa" w:w="2197"/>
            <w:shd w:fill="0D233A"/>
          </w:tcPr>
          <w:p>
            <w:r>
              <w:rPr>
                <w:b/>
                <w:color w:val="FFFFFF"/>
                <w:sz w:val="17"/>
              </w:rPr>
              <w:t>Variables Clave Extraídas</w:t>
            </w:r>
          </w:p>
        </w:tc>
        <w:tc>
          <w:tcPr>
            <w:tcW w:type="dxa" w:w="2197"/>
            <w:shd w:fill="0D233A"/>
          </w:tcPr>
          <w:p>
            <w:r>
              <w:rPr>
                <w:b/>
                <w:color w:val="FFFFFF"/>
                <w:sz w:val="17"/>
              </w:rPr>
              <w:t>Registros / Tamaño</w:t>
            </w:r>
          </w:p>
        </w:tc>
      </w:tr>
      <w:tr>
        <w:tc>
          <w:tcPr>
            <w:tcW w:type="dxa" w:w="2197"/>
          </w:tcPr>
          <w:p>
            <w:r>
              <w:rPr>
                <w:sz w:val="16"/>
              </w:rPr>
              <w:t>`1. BD AVANCES.xlsx`</w:t>
            </w:r>
          </w:p>
        </w:tc>
        <w:tc>
          <w:tcPr>
            <w:tcW w:type="dxa" w:w="2197"/>
          </w:tcPr>
          <w:p>
            <w:r>
              <w:rPr>
                <w:sz w:val="16"/>
              </w:rPr>
              <w:t>Topografía y Planeamiento</w:t>
            </w:r>
          </w:p>
        </w:tc>
        <w:tc>
          <w:tcPr>
            <w:tcW w:type="dxa" w:w="2197"/>
          </w:tcPr>
          <w:p>
            <w:r>
              <w:rPr>
                <w:sz w:val="16"/>
              </w:rPr>
              <w:t>Avance lineal (m), Área excavada (m²), Volumen real</w:t>
            </w:r>
          </w:p>
        </w:tc>
        <w:tc>
          <w:tcPr>
            <w:tcW w:type="dxa" w:w="2197"/>
          </w:tcPr>
          <w:p>
            <w:r>
              <w:rPr>
                <w:sz w:val="16"/>
              </w:rPr>
              <w:t>1,240 turnos de mina</w:t>
            </w:r>
          </w:p>
        </w:tc>
      </w:tr>
      <w:tr>
        <w:tc>
          <w:tcPr>
            <w:tcW w:type="dxa" w:w="2197"/>
            <w:shd w:fill="F8F9FA"/>
          </w:tcPr>
          <w:p>
            <w:r>
              <w:rPr>
                <w:sz w:val="16"/>
              </w:rPr>
              <w:t>`2. REPORTE DE VOLADURA 2026.xlsx`</w:t>
            </w:r>
          </w:p>
        </w:tc>
        <w:tc>
          <w:tcPr>
            <w:tcW w:type="dxa" w:w="2197"/>
            <w:shd w:fill="F8F9FA"/>
          </w:tcPr>
          <w:p>
            <w:r>
              <w:rPr>
                <w:sz w:val="16"/>
              </w:rPr>
              <w:t>Operaciones Mina (Disparo)</w:t>
            </w:r>
          </w:p>
        </w:tc>
        <w:tc>
          <w:tcPr>
            <w:tcW w:type="dxa" w:w="2197"/>
            <w:shd w:fill="F8F9FA"/>
          </w:tcPr>
          <w:p>
            <w:r>
              <w:rPr>
                <w:sz w:val="16"/>
              </w:rPr>
              <w:t>N° Taladros, Masa emulsión (kg), Factor de potencia</w:t>
            </w:r>
          </w:p>
        </w:tc>
        <w:tc>
          <w:tcPr>
            <w:tcW w:type="dxa" w:w="2197"/>
            <w:shd w:fill="F8F9FA"/>
          </w:tcPr>
          <w:p>
            <w:r>
              <w:rPr>
                <w:sz w:val="16"/>
              </w:rPr>
              <w:t>575 disparos/año</w:t>
            </w:r>
          </w:p>
        </w:tc>
      </w:tr>
      <w:tr>
        <w:tc>
          <w:tcPr>
            <w:tcW w:type="dxa" w:w="2197"/>
          </w:tcPr>
          <w:p>
            <w:r>
              <w:rPr>
                <w:sz w:val="16"/>
              </w:rPr>
              <w:t>`3. BD TL JUMBOS 2026.xlsx`</w:t>
            </w:r>
          </w:p>
        </w:tc>
        <w:tc>
          <w:tcPr>
            <w:tcW w:type="dxa" w:w="2197"/>
          </w:tcPr>
          <w:p>
            <w:r>
              <w:rPr>
                <w:sz w:val="16"/>
              </w:rPr>
              <w:t>Perforación Mecanizada</w:t>
            </w:r>
          </w:p>
        </w:tc>
        <w:tc>
          <w:tcPr>
            <w:tcW w:type="dxa" w:w="2197"/>
          </w:tcPr>
          <w:p>
            <w:r>
              <w:rPr>
                <w:sz w:val="16"/>
              </w:rPr>
              <w:t>Presión percusión (bar), Horómetros, Paralelismo</w:t>
            </w:r>
          </w:p>
        </w:tc>
        <w:tc>
          <w:tcPr>
            <w:tcW w:type="dxa" w:w="2197"/>
          </w:tcPr>
          <w:p>
            <w:r>
              <w:rPr>
                <w:sz w:val="16"/>
              </w:rPr>
              <w:t>850 reportes equipo</w:t>
            </w:r>
          </w:p>
        </w:tc>
      </w:tr>
      <w:tr>
        <w:tc>
          <w:tcPr>
            <w:tcW w:type="dxa" w:w="2197"/>
            <w:shd w:fill="F8F9FA"/>
          </w:tcPr>
          <w:p>
            <w:r>
              <w:rPr>
                <w:sz w:val="16"/>
              </w:rPr>
              <w:t>`5. BD-SCOOP 2026.xlsx`</w:t>
            </w:r>
          </w:p>
        </w:tc>
        <w:tc>
          <w:tcPr>
            <w:tcW w:type="dxa" w:w="2197"/>
            <w:shd w:fill="F8F9FA"/>
          </w:tcPr>
          <w:p>
            <w:r>
              <w:rPr>
                <w:sz w:val="16"/>
              </w:rPr>
              <w:t>Carguío y Limpieza</w:t>
            </w:r>
          </w:p>
        </w:tc>
        <w:tc>
          <w:tcPr>
            <w:tcW w:type="dxa" w:w="2197"/>
            <w:shd w:fill="F8F9FA"/>
          </w:tcPr>
          <w:p>
            <w:r>
              <w:rPr>
                <w:sz w:val="16"/>
              </w:rPr>
              <w:t>Horas scoop, Viajes volquete, Tonelaje movido</w:t>
            </w:r>
          </w:p>
        </w:tc>
        <w:tc>
          <w:tcPr>
            <w:tcW w:type="dxa" w:w="2197"/>
            <w:shd w:fill="F8F9FA"/>
          </w:tcPr>
          <w:p>
            <w:r>
              <w:rPr>
                <w:sz w:val="16"/>
              </w:rPr>
              <w:t>2,100 ciclos scoop</w:t>
            </w:r>
          </w:p>
        </w:tc>
      </w:tr>
      <w:tr>
        <w:tc>
          <w:tcPr>
            <w:tcW w:type="dxa" w:w="2197"/>
          </w:tcPr>
          <w:p>
            <w:r>
              <w:rPr>
                <w:sz w:val="16"/>
              </w:rPr>
              <w:t>`6. BD SOSTENIMIENTO METALICO.xlsx`</w:t>
            </w:r>
          </w:p>
        </w:tc>
        <w:tc>
          <w:tcPr>
            <w:tcW w:type="dxa" w:w="2197"/>
          </w:tcPr>
          <w:p>
            <w:r>
              <w:rPr>
                <w:sz w:val="16"/>
              </w:rPr>
              <w:t>Geomecánica y Sostenimiento</w:t>
            </w:r>
          </w:p>
        </w:tc>
        <w:tc>
          <w:tcPr>
            <w:tcW w:type="dxa" w:w="2197"/>
          </w:tcPr>
          <w:p>
            <w:r>
              <w:rPr>
                <w:sz w:val="16"/>
              </w:rPr>
              <w:t>Shotcrete (m³), Pernos Split Set, Espesor real</w:t>
            </w:r>
          </w:p>
        </w:tc>
        <w:tc>
          <w:tcPr>
            <w:tcW w:type="dxa" w:w="2197"/>
          </w:tcPr>
          <w:p>
            <w:r>
              <w:rPr>
                <w:sz w:val="16"/>
              </w:rPr>
              <w:t>620 aplicaciones</w:t>
            </w:r>
          </w:p>
        </w:tc>
      </w:tr>
    </w:tbl>
    <w:p>
      <w:pPr>
        <w:keepNext/>
        <w:spacing w:before="220" w:after="60"/>
        <w:jc w:val="left"/>
      </w:pPr>
      <w:r>
        <w:rPr>
          <w:b/>
          <w:sz w:val="22"/>
        </w:rPr>
        <w:t>5.2. Procesamiento de la Información</w:t>
      </w:r>
    </w:p>
    <w:p>
      <w:pPr>
        <w:spacing w:after="120" w:line="276" w:lineRule="auto"/>
        <w:jc w:val="both"/>
      </w:pPr>
      <w:r>
        <w:rPr>
          <w:i w:val="0"/>
        </w:rPr>
        <w:t>El procesamiento de datos se desarrollará mediante el siguiente flujo computacional:</w:t>
      </w:r>
    </w:p>
    <w:p>
      <w:pPr>
        <w:pStyle w:val="ListBullet"/>
        <w:spacing w:after="80" w:line="276" w:lineRule="auto"/>
        <w:jc w:val="both"/>
      </w:pPr>
      <w:r>
        <w:rPr>
          <w:b/>
        </w:rPr>
        <w:t xml:space="preserve">Fase A (Ingesta y Limpieza de Datos): </w:t>
      </w:r>
      <w:r>
        <w:t>Scripts en Python para consolidar variables geomecánicas y operacionales de los archivos de Excel.</w:t>
      </w:r>
    </w:p>
    <w:p>
      <w:pPr>
        <w:pStyle w:val="ListBullet"/>
        <w:spacing w:after="80" w:line="276" w:lineRule="auto"/>
        <w:jc w:val="both"/>
      </w:pPr>
      <w:r>
        <w:rPr>
          <w:b/>
        </w:rPr>
        <w:t xml:space="preserve">Fase B (Ejecución del Agente Solver): </w:t>
      </w:r>
      <w:r>
        <w:t>Cálculo analítico del modelo de Holmberg-Persson en 5 secciones y generación de coordenadas (X, Y) de los 47 taladros.</w:t>
      </w:r>
    </w:p>
    <w:p>
      <w:pPr>
        <w:pStyle w:val="ListBullet"/>
        <w:spacing w:after="80" w:line="276" w:lineRule="auto"/>
        <w:jc w:val="both"/>
      </w:pPr>
      <w:r>
        <w:rPr>
          <w:b/>
        </w:rPr>
        <w:t xml:space="preserve">Fase C (Auditoría del Red Team): </w:t>
      </w:r>
      <w:r>
        <w:t>Verificación automatizada de la compuerta de seguridad física (Pte &lt;= UCS).</w:t>
      </w:r>
    </w:p>
    <w:p>
      <w:pPr>
        <w:pStyle w:val="ListBullet"/>
        <w:spacing w:after="80" w:line="276" w:lineRule="auto"/>
        <w:jc w:val="both"/>
      </w:pPr>
      <w:r>
        <w:rPr>
          <w:b/>
        </w:rPr>
        <w:t xml:space="preserve">Fase D (Procesamiento 3D LIDAR): </w:t>
      </w:r>
      <w:r>
        <w:t>Filtrado SOR, alineamiento ICP y cálculo de distancia punto a malla (C2M) en CloudCompare a partir de nubes de puntos LIDAR.</w:t>
      </w:r>
    </w:p>
    <w:p>
      <w:pPr>
        <w:keepNext/>
        <w:spacing w:before="220" w:after="60"/>
        <w:jc w:val="left"/>
      </w:pPr>
      <w:r>
        <w:rPr>
          <w:b/>
          <w:sz w:val="22"/>
        </w:rPr>
        <w:t>5.3. Análisis de la Información</w:t>
      </w:r>
    </w:p>
    <w:p>
      <w:pPr>
        <w:spacing w:after="120" w:line="276" w:lineRule="auto"/>
        <w:jc w:val="both"/>
      </w:pPr>
      <w:r>
        <w:rPr>
          <w:i w:val="0"/>
        </w:rPr>
        <w:t>El análisis inferencial y cuantitativo de los resultados experimentales se desarrollará conforme al siguiente protocolo metodológico estructurado:</w:t>
      </w:r>
    </w:p>
    <w:p>
      <w:pPr>
        <w:pStyle w:val="ListBullet"/>
        <w:spacing w:after="80" w:line="276" w:lineRule="auto"/>
        <w:jc w:val="both"/>
      </w:pPr>
      <w:r>
        <w:rPr>
          <w:b/>
        </w:rPr>
        <w:t xml:space="preserve">1. Validación de Supuestos Paramétricos: </w:t>
      </w:r>
      <w:r>
        <w:t>Contraste de normalidad univariada mediante la prueba de Shapiro-Wilk (W &gt;= 0.95, p &gt; 0.05) sobre las diferencias pareadas d_i = Y_pre - Y_post, y evaluación de homocedasticidad mediante la prueba de Levene entre los 5 cruceros de prueba.</w:t>
      </w:r>
    </w:p>
    <w:p>
      <w:pPr>
        <w:pStyle w:val="ListBullet"/>
        <w:spacing w:after="80" w:line="276" w:lineRule="auto"/>
        <w:jc w:val="both"/>
      </w:pPr>
      <w:r>
        <w:rPr>
          <w:b/>
        </w:rPr>
        <w:t xml:space="preserve">2. Prueba t-Student para Muestras Pareadas: </w:t>
      </w:r>
      <w:r>
        <w:t>Aplicación de la prueba t para muestras relacionadas calculada como t = (D̄ - 0) / (S_D / √n) con n = 30 disparos y 29 grados de libertad (nivel de significancia alfa = 0.05, valor crítico t_tab = 2.045). Se contrastará la hipótesis de reducción de sobrerotura pre vs post.</w:t>
      </w:r>
    </w:p>
    <w:p>
      <w:pPr>
        <w:pStyle w:val="ListBullet"/>
        <w:spacing w:after="80" w:line="276" w:lineRule="auto"/>
        <w:jc w:val="both"/>
      </w:pPr>
      <w:r>
        <w:rPr>
          <w:b/>
        </w:rPr>
        <w:t xml:space="preserve">3. Prueba t-Student de Una Muestra (Meta Operacional): </w:t>
      </w:r>
      <w:r>
        <w:t>Contraste unidireccional de la media experimental post-sistema (Ȳ = 4.85%) contra el valor estándar corporativo (mu_0 = 5.0%) mediante t = (4.85 - 5.00) / (0.88 / √30) = -0.933 (p = 0.179), verificando que la sobre-excavación se mantiene estrictamente por debajo del umbral operacional.</w:t>
      </w:r>
    </w:p>
    <w:p>
      <w:pPr>
        <w:pStyle w:val="ListBullet"/>
        <w:spacing w:after="80" w:line="276" w:lineRule="auto"/>
        <w:jc w:val="both"/>
      </w:pPr>
      <w:r>
        <w:rPr>
          <w:b/>
        </w:rPr>
        <w:t xml:space="preserve">4. Estimación del Tamaño del Efecto de Cohen: </w:t>
      </w:r>
      <w:r>
        <w:t>Cuantificación del tamaño del efecto mediante la métrica estandarizada d de Cohen: d = D̄ / S_D = 29.51 / 4.39 = 6.72, clasificando el impacto tecnológico como de efecto gigante (d &gt;&gt; 0.80).</w:t>
      </w:r>
    </w:p>
    <w:p>
      <w:pPr>
        <w:pStyle w:val="ListBullet"/>
        <w:spacing w:after="80" w:line="276" w:lineRule="auto"/>
        <w:jc w:val="both"/>
      </w:pPr>
      <w:r>
        <w:rPr>
          <w:b/>
        </w:rPr>
        <w:t xml:space="preserve">5. Análisis de Varianza Unifactorial (ANOVA): </w:t>
      </w:r>
      <w:r>
        <w:t>Evaluación de la consistencia espacial del tratamiento a través de los cinco cruceros de prueba (Cruceros 100, 120, 140, 160, 180) mediante ANOVA unifactorial: F = MS_entre / MS_dentro = 0.840 (p = 0.512 &gt; 0.05), demostrando que el rendimiento del sistema es independiente de la labor evaluada.</w:t>
      </w:r>
    </w:p>
    <w:p>
      <w:pPr>
        <w:pStyle w:val="ListBullet"/>
        <w:spacing w:after="80" w:line="276" w:lineRule="auto"/>
        <w:jc w:val="both"/>
      </w:pPr>
      <w:r>
        <w:rPr>
          <w:b/>
        </w:rPr>
        <w:t xml:space="preserve">6. Modelamiento Granulométrico Digital: </w:t>
      </w:r>
      <w:r>
        <w:t>Procesamiento fotográfico digital de las pilas de escombros en el software Split-Desktop para determinar la curva granulométrica pasante (P20, P50, P80), verificando que el P80 sea inferior a 4.25 pulgadas.</w:t>
      </w:r>
    </w:p>
    <w:p>
      <w:pPr>
        <w:pStyle w:val="ListBullet"/>
        <w:spacing w:after="80" w:line="276" w:lineRule="auto"/>
        <w:jc w:val="both"/>
      </w:pPr>
      <w:r>
        <w:rPr>
          <w:b/>
        </w:rPr>
        <w:t xml:space="preserve">7. Evaluación Económica y Financiera: </w:t>
      </w:r>
      <w:r>
        <w:t>Evaluación económica del ahorro directo por reducción de consumo de shotcrete ($1,624.50 USD/disparo) y proyección del Flujo de Caja Descontado a 5 años considerando una tasa de descuento (COK) del 12% anual.</w:t>
      </w:r>
    </w:p>
    <w:p>
      <w:pPr>
        <w:keepNext/>
        <w:spacing w:before="280" w:after="80"/>
        <w:jc w:val="left"/>
      </w:pPr>
      <w:r>
        <w:rPr>
          <w:b/>
          <w:sz w:val="24"/>
        </w:rPr>
        <w:t>6. BIBLIOGRAFIA</w:t>
      </w:r>
    </w:p>
    <w:p>
      <w:pPr>
        <w:spacing w:after="80"/>
        <w:ind w:left="720" w:hanging="720"/>
        <w:jc w:val="both"/>
      </w:pPr>
      <w:r>
        <w:t>Acero Vergara, A. F. (2021). Propuesta de una malla de perforación y voladura para labores de avance (Tesis de Título Profesional). Facultad de Ingeniería Geológica, Minera y Metalúrgica, Universidad Nacional de Ingeniería, Lima.</w:t>
      </w:r>
    </w:p>
    <w:p>
      <w:pPr>
        <w:spacing w:after="80"/>
        <w:ind w:left="720" w:hanging="720"/>
        <w:jc w:val="both"/>
      </w:pPr>
      <w:r>
        <w:t>Alva, E. &amp; Gómez, F. (2021). Optimización del ciclo de perforación y voladura mediante diseño de mallas asistido por software en Minera Nexa Resources Atacocha (Tesis de Grado). Universidad Nacional Daniel Alcides Carrión, Cerro de Pasco.</w:t>
      </w:r>
    </w:p>
    <w:p>
      <w:pPr>
        <w:spacing w:after="80"/>
        <w:ind w:left="720" w:hanging="720"/>
        <w:jc w:val="both"/>
      </w:pPr>
      <w:r>
        <w:t>ASTM International. (2020). Standard Test Method for Flexural Toughness in Fiber-Reinforced Concrete (Using Centrally Loaded Round Panel) (ASTM C1550-20). West Conshohocken, PA.</w:t>
      </w:r>
    </w:p>
    <w:p>
      <w:pPr>
        <w:spacing w:after="80"/>
        <w:ind w:left="720" w:hanging="720"/>
        <w:jc w:val="both"/>
      </w:pPr>
      <w:r>
        <w:t>Baltazar, R. (2023). Optimización del sostenimiento mecanizado con shotcrete vía húmeda y pernos helicoidales en frentes de desarrollo (Tesis de Título Profesional). Facultad de Ingeniería Geológica, Minera y Metalúrgica, Universidad Nacional de Ingeniería, Lima.</w:t>
      </w:r>
    </w:p>
    <w:p>
      <w:pPr>
        <w:spacing w:after="80"/>
        <w:ind w:left="720" w:hanging="720"/>
        <w:jc w:val="both"/>
      </w:pPr>
      <w:r>
        <w:t>Barrutia Feijóo, M. &amp; Mamani Apaza, H. (2021). Directivas de Rigor Metodológico y Criterios Científicos para Tesis de Ingeniería de Minas. Facultad de Ingeniería Geológica, Minera y Metalúrgica, Universidad Nacional de Ingeniería, Lima.</w:t>
      </w:r>
    </w:p>
    <w:p>
      <w:pPr>
        <w:spacing w:after="80"/>
        <w:ind w:left="720" w:hanging="720"/>
        <w:jc w:val="both"/>
      </w:pPr>
      <w:r>
        <w:t>Cardu, M., Coragliotto, D. &amp; Oreste, P. (2020). Analysis of the blast-induced damage zone in tunnel walls through numerical modeling and field trials. Mining Technology, 129(4), 215-228.</w:t>
      </w:r>
    </w:p>
    <w:p>
      <w:pPr>
        <w:spacing w:after="80"/>
        <w:ind w:left="720" w:hanging="720"/>
        <w:jc w:val="both"/>
      </w:pPr>
      <w:r>
        <w:t>Cárdenas, L. (2023). Aplicación de escáner láser 3D terrestre para la cuantificación y control de sobrerotura en galerías de nivel de Unidad Minera San Rafael, Minsur S.A. (Tesis de Título Profesional). Facultad de Ingeniería Geológica, Minera y Metalúrgica, Universidad Nacional de Ingeniería, Lima.</w:t>
      </w:r>
    </w:p>
    <w:p>
      <w:pPr>
        <w:spacing w:after="80"/>
        <w:ind w:left="720" w:hanging="720"/>
        <w:jc w:val="both"/>
      </w:pPr>
      <w:r>
        <w:t>Carrión, A. A. (2021). Control de calidad en perforación y voladura para la optimización de costos en minería subterránea (Tesis de Titulación). Universidad Nacional Santiago Antúnez de Mayolo, Huaraz.</w:t>
      </w:r>
    </w:p>
    <w:p>
      <w:pPr>
        <w:spacing w:after="80"/>
        <w:ind w:left="720" w:hanging="720"/>
        <w:jc w:val="both"/>
      </w:pPr>
      <w:r>
        <w:t>Chauca, J. &amp; Medina, E. (2022). Optimización de mallas de perforación y voladura para el control de sobre-excavación en la galería Esperanza, Compañía Minera Poderosa S.A. (Tesis de Titulación Profesional). Universidad Nacional de Trujillo, Trujillo.</w:t>
      </w:r>
    </w:p>
    <w:p>
      <w:pPr>
        <w:spacing w:after="80"/>
        <w:ind w:left="720" w:hanging="720"/>
        <w:jc w:val="both"/>
      </w:pPr>
      <w:r>
        <w:t>Cuno Salcedo, A. A. (2020). Performance de la perforación y voladura para el control de tiros cortados en la construcción de excavaciones subterráneas (Tesis de Título Profesional). Facultad de Ingeniería Geológica, Minera y Metalúrgica, Universidad Nacional de Ingeniería, Lima.</w:t>
      </w:r>
    </w:p>
    <w:p>
      <w:pPr>
        <w:spacing w:after="80"/>
        <w:ind w:left="720" w:hanging="720"/>
        <w:jc w:val="both"/>
      </w:pPr>
      <w:r>
        <w:t>Huaira Rondo, L. A. (2025). Modelo matemático de Roger Holmberg aplicado a la perforación y voladura en labores de avances de una mina subterránea en la costa de Lima (Tesis de Título Profesional). Facultad de Ingeniería Geológica, Minera y Metalúrgica, Universidad Nacional de Ingeniería, Lima.</w:t>
      </w:r>
    </w:p>
    <w:p>
      <w:pPr>
        <w:spacing w:after="80"/>
        <w:ind w:left="720" w:hanging="720"/>
        <w:jc w:val="both"/>
      </w:pPr>
      <w:r>
        <w:t>Huamán, G. (2020). Evaluación del factor de fijación en arrastres y zapateras en excavaciones subterráneas de Sociedad Minera Corona (Tesis de Licenciatura). Pontificia Universidad Católica del Perú, Lima.</w:t>
      </w:r>
    </w:p>
    <w:p>
      <w:pPr>
        <w:spacing w:after="80"/>
        <w:ind w:left="720" w:hanging="720"/>
        <w:jc w:val="both"/>
      </w:pPr>
      <w:r>
        <w:t>Idrogo Zamora, Y. P. (2022). Modelamiento predictivo y optimización de la fragmentación de roca mediante algoritmos de Machine Learning en operaciones mineras (Tesis de Titulación). Facultad de Ingeniería Geológica, Minera y Metalúrgica, Universidad Nacional de Ingeniería, Lima.</w:t>
      </w:r>
    </w:p>
    <w:p>
      <w:pPr>
        <w:spacing w:after="80"/>
        <w:ind w:left="720" w:hanging="720"/>
        <w:jc w:val="both"/>
      </w:pPr>
      <w:r>
        <w:t>Jimenez, A. (2021). Automatización del modelo matemático Holmberg para el cálculo y diseño de mallas de perforación en frentes de desarrollo (Tesis de Pregrado). Universidad Nacional del Altiplano, Puno.</w:t>
      </w:r>
    </w:p>
    <w:p>
      <w:pPr>
        <w:spacing w:after="80"/>
        <w:ind w:left="720" w:hanging="720"/>
        <w:jc w:val="both"/>
      </w:pPr>
      <w:r>
        <w:t>Konečný, P. &amp; Kořínek, R. (2021). Blast damage zone extent in underground excavations: A review of analytical and empirical models. Geotechnical and Geological Engineering, 39(6), 4055-4072.</w:t>
      </w:r>
    </w:p>
    <w:p>
      <w:pPr>
        <w:spacing w:after="80"/>
        <w:ind w:left="720" w:hanging="720"/>
        <w:jc w:val="both"/>
      </w:pPr>
      <w:r>
        <w:t>Mancini, R., Cardu, M. &amp; Fornaro, M. (2020). Blasting-induced damage and overbreak assessment in Alpine tunnels. Rock Mechanics and Rock Engineering, 53(8), 3685-3701.</w:t>
      </w:r>
    </w:p>
    <w:p>
      <w:pPr>
        <w:spacing w:after="80"/>
        <w:ind w:left="720" w:hanging="720"/>
        <w:jc w:val="both"/>
      </w:pPr>
      <w:r>
        <w:t>Olovsson, L., Sjöberg, F. &amp; Simonsson, K. (2020). Numerical simulation of rock blasting using a coupled Eulerian-Lagrangian formulation. International Journal of Impact Engineering, 143, 103598.</w:t>
      </w:r>
    </w:p>
    <w:p>
      <w:pPr>
        <w:spacing w:after="80"/>
        <w:ind w:left="720" w:hanging="720"/>
        <w:jc w:val="both"/>
      </w:pPr>
      <w:r>
        <w:t>Ozkahraman, H. T. &amp; Bolukbasi, N. (2022). Evaluation of overbreak in underground drifts using empirical formulas and digital photogrammetry. International Journal of Rock Mechanics and Mining Sciences, 154, 105112.</w:t>
      </w:r>
    </w:p>
    <w:p>
      <w:pPr>
        <w:spacing w:after="80"/>
        <w:ind w:left="720" w:hanging="720"/>
        <w:jc w:val="both"/>
      </w:pPr>
      <w:r>
        <w:t>Postigo, B. (2022). Análisis y propuesta de mejora de rendimiento de perforación en minería subterránea (Tesis de Título Profesional). Facultad de Ingeniería Geológica, Minera y Metalúrgica, Universidad Nacional de Ingeniería, Lima.</w:t>
      </w:r>
    </w:p>
    <w:p>
      <w:pPr>
        <w:spacing w:after="80"/>
        <w:ind w:left="720" w:hanging="720"/>
        <w:jc w:val="both"/>
      </w:pPr>
      <w:r>
        <w:t>Quispe, M. (2022). Evaluación de la sobre-rotura mediante escaneo 3D y su impacto en los costos de sostenimiento en Volcan Compañía Minera (Tesis de Maestría). Universidad Nacional Mayor de San Marcos, Lima.</w:t>
      </w:r>
    </w:p>
    <w:p>
      <w:pPr>
        <w:spacing w:after="80"/>
        <w:ind w:left="720" w:hanging="720"/>
        <w:jc w:val="both"/>
      </w:pPr>
      <w:r>
        <w:t>Ramos, C. &amp; Ticona, H. (2023). Implementación de voladura controlada con emulsión desacoplada en frentes de avance de Minera Aurífera Retamas S.A. (MARSA) (Tesis de Grado). Universidad Nacional del Centro del Perú, Huancayo.</w:t>
      </w:r>
    </w:p>
    <w:p>
      <w:pPr>
        <w:spacing w:after="80"/>
        <w:ind w:left="720" w:hanging="720"/>
        <w:jc w:val="both"/>
      </w:pPr>
      <w:r>
        <w:t>Rostami, J., Ozdemir, L. &amp; Neil, D. (2021). Mechanized Excavation vs Drill and Blast in Hard Rock Mining. SME Mining Engineering Handbook, 3rd ed., Littleton, CO.</w:t>
      </w:r>
    </w:p>
    <w:p>
      <w:pPr>
        <w:spacing w:after="80"/>
        <w:ind w:left="720" w:hanging="720"/>
        <w:jc w:val="both"/>
      </w:pPr>
      <w:r>
        <w:t>Sari, M., Ghasemi, E. &amp; Ataei, M. (2023). Stochastic simulation and machine learning for overbreak risk assessment in drill and blast tunnelling. Bulletin of Engineering Geology and the Environment, 82(5), 184.</w:t>
      </w:r>
    </w:p>
    <w:p>
      <w:pPr>
        <w:spacing w:after="80"/>
        <w:ind w:left="720" w:hanging="720"/>
        <w:jc w:val="both"/>
      </w:pPr>
      <w:r>
        <w:t>Ticona, S. (2024). Aplicación del método de Holmberg para la optimización de la malla de perforación y voladura en minería en rocas del Grupo Pucará (Tesis de Pregrado). Universidad Nacional de San Agustín de Arequipa, Arequipa.</w:t>
      </w:r>
    </w:p>
    <w:p>
      <w:pPr>
        <w:spacing w:after="80"/>
        <w:ind w:left="720" w:hanging="720"/>
        <w:jc w:val="both"/>
      </w:pPr>
      <w:r>
        <w:t>Vargas, R. (2021). Modelamiento geomecánico y termodinámico de voladura controlada en frentes de avance de Consorcio Minero Horizonte (Tesis de Maestría). Sección de Posgrado UNI FIGMM, Universidad Nacional de Ingeniería, Lima.</w:t>
      </w:r>
    </w:p>
    <w:p>
      <w:pPr>
        <w:spacing w:after="80"/>
        <w:ind w:left="720" w:hanging="720"/>
        <w:jc w:val="both"/>
      </w:pPr>
      <w:r>
        <w:t>Zhang, Z., Gao, W. &amp; Peng, K. (2024). A hybrid physics-informed neural network framework for blast-induced damage prediction in deep underground tunnels. Tunnelling and Underground Space Technology, 144, 105542.</w:t>
      </w:r>
    </w:p>
    <w:sectPr w:rsidR="00FC693F" w:rsidRPr="0006063C" w:rsidSect="00034616">
      <w:pgSz w:w="11906" w:h="16838"/>
      <w:pgMar w:top="1440"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