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  <w:pBdr>
          <w:bottom w:val="single" w:sz="12" w:space="4" w:color="C8102E"/>
        </w:pBdr>
      </w:pPr>
      <w:r>
        <w:rPr>
          <w:rFonts w:ascii="Meiryo UI" w:hAnsi="Meiryo UI" w:eastAsia="Meiryo UI" w:cs="Meiryo UI"/>
          <w:b/>
          <w:color w:val="15436F"/>
          <w:sz w:val="36"/>
        </w:rPr>
        <w:t>会議費・交際費 監査スクリーニングツール 仕様書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32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ドキュメント名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仕様書（外部仕様・内部仕様）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対象システム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会議費・交際費 日常チェック統合型 監査スクリーニングツール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公開URL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https://chikashimasaki-lgtm.github.io/kosaihi-audit/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実装形態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単一HTMLファイル（HTML + CSS + Vanilla JavaScript）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バージョン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作成日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2026-06-28</w:t>
            </w:r>
          </w:p>
        </w:tc>
      </w:tr>
    </w:tbl>
    <w:p/>
    <w:p>
      <w:pPr>
        <w:pBdr>
          <w:bottom w:val="single" w:sz="6" w:space="1" w:color="AAB4BE"/>
        </w:pBdr>
      </w:pPr>
    </w:p>
    <w:p>
      <w:pPr>
        <w:spacing w:before="200" w:after="80"/>
      </w:pPr>
      <w:r>
        <w:rPr>
          <w:rFonts w:ascii="Meiryo UI" w:hAnsi="Meiryo UI" w:eastAsia="Meiryo UI" w:cs="Meiryo UI"/>
          <w:b/>
          <w:color w:val="15436F"/>
          <w:sz w:val="28"/>
        </w:rPr>
        <w:t>1. システム構成</w:t>
      </w:r>
    </w:p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1.1 技術スタック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区分</w:t>
            </w:r>
          </w:p>
        </w:tc>
        <w:tc>
          <w:tcPr>
            <w:tcW w:type="dxa" w:w="432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フロントエンド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HTML5 / CSS3 / Vanilla JavaScript（フレームワーク不使用）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バックエンド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なし（完全クライアントサイド処理）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ホスティング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GitHub Pages（静的サイト）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外部依存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なし（AI・外部API・外部ライブラリ未使用）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データ永続化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なし（メモリ上の変数のみ）</w:t>
            </w:r>
          </w:p>
        </w:tc>
      </w:tr>
    </w:tbl>
    <w:p/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1.2 ファイル構成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index.html … 全機能を内包する単一ファイル（約620行）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&lt;style&gt; … 画面スタイル（CSS変数によるカラーテーマ）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&lt;body&gt; … 画面レイアウト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&lt;script&gt; … サンプルデータ・判定ロジック・描画・出力処理</w:t>
      </w:r>
    </w:p>
    <w:p>
      <w:pPr>
        <w:pBdr>
          <w:bottom w:val="single" w:sz="6" w:space="1" w:color="AAB4BE"/>
        </w:pBdr>
      </w:pPr>
    </w:p>
    <w:p>
      <w:pPr>
        <w:spacing w:before="200" w:after="80"/>
      </w:pPr>
      <w:r>
        <w:rPr>
          <w:rFonts w:ascii="Meiryo UI" w:hAnsi="Meiryo UI" w:eastAsia="Meiryo UI" w:cs="Meiryo UI"/>
          <w:b/>
          <w:color w:val="15436F"/>
          <w:sz w:val="28"/>
        </w:rPr>
        <w:t>2. 画面仕様</w:t>
      </w:r>
    </w:p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2.1 画面構成</w:t>
      </w:r>
    </w:p>
    <w:p>
      <w:pPr>
        <w:ind w:left="240"/>
        <w:shd w:val="clear" w:fill="F2F4F7"/>
      </w:pPr>
      <w:r>
        <w:rPr>
          <w:rFonts w:ascii="Consolas" w:hAnsi="Consolas" w:eastAsia="Consolas" w:cs="Consolas"/>
          <w:sz w:val="18"/>
        </w:rPr>
        <w:t>┌─────────────────────────────────────────────┐</w:t>
        <w:br/>
        <w:t>│ ヘッダー（タイトル・説明）                    │</w:t>
        <w:br/>
        <w:t>├─────────────────────────────────────────────┤</w:t>
        <w:br/>
        <w:t>│ ⚠ 注意書き（デモアプリ・ローカル処理）         │</w:t>
        <w:br/>
        <w:t>├─────────────────────────────────────────────┤</w:t>
        <w:br/>
        <w:t>│ ⚙️ 判定条件（4つの数値入力）                   │</w:t>
        <w:br/>
        <w:t>├─────────────────────────────────────────────┤</w:t>
        <w:br/>
        <w:t>│ 📥 入力データ（textarea + 4ボタン）            │</w:t>
        <w:br/>
        <w:t>├─────────────────────────────────────────────┤</w:t>
        <w:br/>
        <w:t>│ 📊 監査結果サマリー（KPIダッシュボード）       │ ← 監査実行後に表示</w:t>
        <w:br/>
        <w:t>│ 📋 判定一覧（テーブル）                        │</w:t>
        <w:br/>
        <w:t>│ 🧾 監査内容確認書（疑義のみ）                  │</w:t>
        <w:br/>
        <w:t>├─────────────────────────────────────────────┤</w:t>
        <w:br/>
        <w:t>│ 📝 STEP3 定性判定用 AIプロンプト（折りたたみ） │</w:t>
        <w:br/>
        <w:t>├─────────────────────────────────────────────┤</w:t>
        <w:br/>
        <w:t>│ フッター（免責・注意）                         │</w:t>
        <w:br/>
        <w:t>└─────────────────────────────────────────────┘</w:t>
      </w:r>
    </w:p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2.2 判定条件入力欄（F-01）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要素ID</w:t>
            </w:r>
          </w:p>
        </w:tc>
        <w:tc>
          <w:tcPr>
            <w:tcW w:type="dxa" w:w="216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ラベル</w:t>
            </w:r>
          </w:p>
        </w:tc>
        <w:tc>
          <w:tcPr>
            <w:tcW w:type="dxa" w:w="216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初期値</w:t>
            </w:r>
          </w:p>
        </w:tc>
        <w:tc>
          <w:tcPr>
            <w:tcW w:type="dxa" w:w="216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cfgThreshold</w:t>
            </w:r>
          </w:p>
        </w:tc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1人あたり基準(円)</w:t>
            </w:r>
          </w:p>
        </w:tc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10000</w:t>
            </w:r>
          </w:p>
        </w:tc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会議費／交際費の閾値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cfgNonDeduct</w:t>
            </w:r>
          </w:p>
        </w:tc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経過措置 控除不可率(%)</w:t>
            </w:r>
          </w:p>
        </w:tc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未登録店の税抜価額上乗せ率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cfgGrace</w:t>
            </w:r>
          </w:p>
        </w:tc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決裁遅延 猶予(日)</w:t>
            </w:r>
          </w:p>
        </w:tc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決裁遅延判定の許容日数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cfgTax</w:t>
            </w:r>
          </w:p>
        </w:tc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消費税率(%)</w:t>
            </w:r>
          </w:p>
        </w:tc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本体価格算出に使用</w:t>
            </w:r>
          </w:p>
        </w:tc>
      </w:tr>
    </w:tbl>
    <w:p/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2.3 操作ボタン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ボタン</w:t>
            </w:r>
          </w:p>
        </w:tc>
        <w:tc>
          <w:tcPr>
            <w:tcW w:type="dxa" w:w="288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関数</w:t>
            </w:r>
          </w:p>
        </w:tc>
        <w:tc>
          <w:tcPr>
            <w:tcW w:type="dxa" w:w="288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動作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🔍 監査実行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runAudit()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入力データを解析し判定・描画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📋 サンプルデータ投入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loadSample()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SAMPLE配列をtextareaに展開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クリア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（インライン）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textareaを空にする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⬇ 結果CSV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downloadCsv()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判定結果をCSV出力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⬇ 確認書CSV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downloadConfCsv()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確認書をCSV出力（疑義のみ）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⬇ 確認書Excel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downloadConfExcel()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確認書を.xls出力（疑義のみ）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📋 プロンプトをコピー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copyPrompt()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AIプロンプトをクリップボードへ</w:t>
            </w:r>
          </w:p>
        </w:tc>
      </w:tr>
    </w:tbl>
    <w:p/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2.4 カラーテーマ（格付け対応）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格付け</w:t>
            </w:r>
          </w:p>
        </w:tc>
        <w:tc>
          <w:tcPr>
            <w:tcW w:type="dxa" w:w="288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クラス</w:t>
            </w:r>
          </w:p>
        </w:tc>
        <w:tc>
          <w:tcPr>
            <w:tcW w:type="dxa" w:w="288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適正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緑 #2f9e5f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注意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note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青 #2b7fd0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要改善(軽微)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minor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黄 #e0a000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要改善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major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赤 #d8443b</w:t>
            </w:r>
          </w:p>
        </w:tc>
      </w:tr>
    </w:tbl>
    <w:p/>
    <w:p>
      <w:pPr>
        <w:pBdr>
          <w:bottom w:val="single" w:sz="6" w:space="1" w:color="AAB4BE"/>
        </w:pBdr>
      </w:pPr>
    </w:p>
    <w:p>
      <w:pPr>
        <w:spacing w:before="200" w:after="80"/>
      </w:pPr>
      <w:r>
        <w:rPr>
          <w:rFonts w:ascii="Meiryo UI" w:hAnsi="Meiryo UI" w:eastAsia="Meiryo UI" w:cs="Meiryo UI"/>
          <w:b/>
          <w:color w:val="15436F"/>
          <w:sz w:val="28"/>
        </w:rPr>
        <w:t>3. データ仕様</w:t>
      </w:r>
    </w:p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3.1 入力フォーマット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1行 = 1申請。区切りはタブ優先、なければカンマ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列順は固定（14列）。COLS 配列で定義</w:t>
      </w:r>
    </w:p>
    <w:p>
      <w:pPr>
        <w:ind w:left="240"/>
        <w:shd w:val="clear" w:fill="F2F4F7"/>
      </w:pPr>
      <w:r>
        <w:rPr>
          <w:rFonts w:ascii="Consolas" w:hAnsi="Consolas" w:eastAsia="Consolas" w:cs="Consolas"/>
          <w:sz w:val="18"/>
        </w:rPr>
        <w:t>const COLS = ["精算申請ID","関連決裁番号","支出日","事前承認日","精算決裁日",</w:t>
        <w:br/>
        <w:t xml:space="preserve">  "金額税込","人数","社外人数","インボイス","店舗","申請科目",</w:t>
        <w:br/>
        <w:t xml:space="preserve">  "社内役職","社外役職","事後理由"];</w:t>
      </w:r>
    </w:p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3.2 内部キーワード辞書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定数</w:t>
            </w:r>
          </w:p>
        </w:tc>
        <w:tc>
          <w:tcPr>
            <w:tcW w:type="dxa" w:w="288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88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LUXE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割烹,料亭,会員制,クラブ,ステーキ,鮨,寿司,銀座,久兵衛,高級,フレンチ,鉄板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高級店判定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SENIOR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役員,社長,会長,専務,常務,執行,本部長,部長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社内上位役職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JUNIOR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担当,社員,主任,係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社外下位役職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GOLF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ゴルフ,カントリー,ゴルフ倶楽部,ゴルフクラブ,CC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ゴルフ費目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GIFT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手土産,菓子折,贈答,贈呈,ギフト,百貨店,中元,歳暮,贈り物 等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手土産費目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TRAVEL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出張,宿泊,ホテル,旅館,航空,新幹線,交通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旅費費目</w:t>
            </w:r>
          </w:p>
        </w:tc>
      </w:tr>
    </w:tbl>
    <w:p/>
    <w:p>
      <w:pPr>
        <w:pBdr>
          <w:bottom w:val="single" w:sz="6" w:space="1" w:color="AAB4BE"/>
        </w:pBdr>
      </w:pPr>
    </w:p>
    <w:p>
      <w:pPr>
        <w:spacing w:before="200" w:after="80"/>
      </w:pPr>
      <w:r>
        <w:rPr>
          <w:rFonts w:ascii="Meiryo UI" w:hAnsi="Meiryo UI" w:eastAsia="Meiryo UI" w:cs="Meiryo UI"/>
          <w:b/>
          <w:color w:val="15436F"/>
          <w:sz w:val="28"/>
        </w:rPr>
        <w:t>4. ロジック仕様（内部仕様）</w:t>
      </w:r>
    </w:p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4.1 入力解析 `parseInput()`</w:t>
      </w:r>
    </w:p>
    <w:p>
      <w:pPr>
        <w:pStyle w:val="ListNumber"/>
      </w:pPr>
      <w:r>
        <w:rPr>
          <w:rFonts w:ascii="Meiryo UI" w:hAnsi="Meiryo UI" w:eastAsia="Meiryo UI" w:cs="Meiryo UI"/>
          <w:b w:val="0"/>
          <w:sz w:val="21"/>
        </w:rPr>
        <w:t>textarea値を改行で分割、空行を除去</w:t>
      </w:r>
    </w:p>
    <w:p>
      <w:pPr>
        <w:pStyle w:val="ListNumber"/>
      </w:pPr>
      <w:r>
        <w:rPr>
          <w:rFonts w:ascii="Meiryo UI" w:hAnsi="Meiryo UI" w:eastAsia="Meiryo UI" w:cs="Meiryo UI"/>
          <w:b w:val="0"/>
          <w:sz w:val="21"/>
        </w:rPr>
        <w:t>各行をタブ（なければカンマ）で分割</w:t>
      </w:r>
    </w:p>
    <w:p>
      <w:pPr>
        <w:pStyle w:val="ListNumber"/>
      </w:pPr>
      <w:r>
        <w:rPr>
          <w:rFonts w:ascii="Meiryo UI" w:hAnsi="Meiryo UI" w:eastAsia="Meiryo UI" w:cs="Meiryo UI"/>
          <w:b w:val="0"/>
          <w:sz w:val="21"/>
        </w:rPr>
        <w:t>COLS と対応づけてオブジェクト化（前後空白trim）</w:t>
      </w:r>
    </w:p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4.2 監査判定 `audit(r, cfg)`</w:t>
      </w:r>
    </w:p>
    <w:p>
      <w:r>
        <w:rPr>
          <w:rFonts w:ascii="Meiryo UI" w:hAnsi="Meiryo UI" w:eastAsia="Meiryo UI" w:cs="Meiryo UI"/>
          <w:b w:val="0"/>
          <w:sz w:val="21"/>
        </w:rPr>
        <w:t>処理順序：</w:t>
      </w:r>
    </w:p>
    <w:p>
      <w:r>
        <w:rPr>
          <w:rFonts w:ascii="Meiryo UI" w:hAnsi="Meiryo UI" w:eastAsia="Meiryo UI" w:cs="Meiryo UI"/>
          <w:b/>
          <w:sz w:val="21"/>
        </w:rPr>
        <w:t>① 税抜計算</w:t>
      </w:r>
    </w:p>
    <w:p>
      <w:pPr>
        <w:ind w:left="240"/>
        <w:shd w:val="clear" w:fill="F2F4F7"/>
      </w:pPr>
      <w:r>
        <w:rPr>
          <w:rFonts w:ascii="Consolas" w:hAnsi="Consolas" w:eastAsia="Consolas" w:cs="Consolas"/>
          <w:sz w:val="18"/>
        </w:rPr>
        <w:t>tax = 税率/100, nd = 控除不可率/100</w:t>
        <w:br/>
        <w:t>gross = 金額税込, ppl = 人数(最低1), ext = 社外人数</w:t>
        <w:br/>
        <w:t>registered = インボイス列が「未」を含まない</w:t>
        <w:br/>
        <w:t>body   = round(gross / (1 + tax))      // 本体価格</w:t>
        <w:br/>
        <w:t>vat    = gross - body                   // 消費税額</w:t>
        <w:br/>
        <w:t>taxExcl = registered ? body : body + round(vat * nd)  // 監査用税抜価額</w:t>
        <w:br/>
        <w:t>per    = taxExcl / ppl                  // 1人あたり</w:t>
        <w:br/>
        <w:t>internalOnly = (ext === 0)</w:t>
      </w:r>
    </w:p>
    <w:p>
      <w:r>
        <w:rPr>
          <w:rFonts w:ascii="Meiryo UI" w:hAnsi="Meiryo UI" w:eastAsia="Meiryo UI" w:cs="Meiryo UI"/>
          <w:b/>
          <w:sz w:val="21"/>
        </w:rPr>
        <w:t>② 費目カテゴリ判定 `cat`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店舗名がGOLF該当 → ゴルフ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店舗名がGIFT該当 → 手土産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申請科目=旅費交通費 または 店舗名がTRAVEL該当 → 旅費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それ以外 → 飲食</w:t>
      </w:r>
    </w:p>
    <w:p>
      <w:r>
        <w:rPr>
          <w:rFonts w:ascii="Meiryo UI" w:hAnsi="Meiryo UI" w:eastAsia="Meiryo UI" w:cs="Meiryo UI"/>
          <w:b/>
          <w:sz w:val="21"/>
        </w:rPr>
        <w:t>③ 勘定科目判定 `judged` とフラグ生成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cat</w:t>
            </w:r>
          </w:p>
        </w:tc>
        <w:tc>
          <w:tcPr>
            <w:tcW w:type="dxa" w:w="288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judged決定</w:t>
            </w:r>
          </w:p>
        </w:tc>
        <w:tc>
          <w:tcPr>
            <w:tcW w:type="dxa" w:w="288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フラグ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ゴルフ/手土産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社外あり→交際費 / 社内のみ→福利厚生費申請なら福利厚生費・他は交際費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申請≠判定で「ゴルフ接待／贈答を○○計上(隠れ交際費)」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旅費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社外あり→交際費 / 社内のみ→旅費交通費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社外あり&amp;旅費交通費申請で「社外同伴の旅費(接待旅費の疑い)」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飲食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福利厚生費&amp;社内のみ→福利厚生費 / 社内のみ→交際費 / 社外あり→per&gt;基準で交際費・以下で会議費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会議費申請で交際費判定→「社内飲食費を会議費計上」or「1万円超(隠れ交際費)」/ 福利厚生費に社外混入→交際費化し「社外混入の福利厚生費(実態交際費)」</w:t>
            </w:r>
          </w:p>
        </w:tc>
      </w:tr>
    </w:tbl>
    <w:p/>
    <w:p>
      <w:r>
        <w:rPr>
          <w:rFonts w:ascii="Meiryo UI" w:hAnsi="Meiryo UI" w:eastAsia="Meiryo UI" w:cs="Meiryo UI"/>
          <w:b/>
          <w:sz w:val="21"/>
        </w:rPr>
        <w:t>④ 決裁プロセス判定</w:t>
      </w:r>
    </w:p>
    <w:p>
      <w:pPr>
        <w:ind w:left="240"/>
        <w:shd w:val="clear" w:fill="F2F4F7"/>
      </w:pPr>
      <w:r>
        <w:rPr>
          <w:rFonts w:ascii="Consolas" w:hAnsi="Consolas" w:eastAsia="Consolas" w:cs="Consolas"/>
          <w:sz w:val="18"/>
        </w:rPr>
        <w:t>noPrior   = 関連決裁番号が空            → "事前申請なし"</w:t>
        <w:br/>
        <w:t>afterFact = days(事前承認日, 支出日) &gt; 0 → "事後決裁(理由あり/なし)"</w:t>
        <w:br/>
        <w:t>delay     = days(精算決裁日, 支出日)</w:t>
        <w:br/>
        <w:t>delay &gt; 猶予 → "決裁遅延(n日)"</w:t>
      </w:r>
    </w:p>
    <w:p>
      <w:r>
        <w:rPr>
          <w:rFonts w:ascii="Meiryo UI" w:hAnsi="Meiryo UI" w:eastAsia="Meiryo UI" w:cs="Meiryo UI"/>
          <w:b w:val="0"/>
          <w:sz w:val="21"/>
        </w:rPr>
        <w:t>※ days(a,b) = round((Date(a) - Date(b)) / 86400000)</w:t>
      </w:r>
    </w:p>
    <w:p>
      <w:r>
        <w:rPr>
          <w:rFonts w:ascii="Meiryo UI" w:hAnsi="Meiryo UI" w:eastAsia="Meiryo UI" w:cs="Meiryo UI"/>
          <w:b/>
          <w:sz w:val="21"/>
        </w:rPr>
        <w:t>⑤ 不祥事シナリオ</w:t>
      </w:r>
    </w:p>
    <w:p>
      <w:pPr>
        <w:ind w:left="240"/>
        <w:shd w:val="clear" w:fill="F2F4F7"/>
      </w:pPr>
      <w:r>
        <w:rPr>
          <w:rFonts w:ascii="Consolas" w:hAnsi="Consolas" w:eastAsia="Consolas" w:cs="Consolas"/>
          <w:sz w:val="18"/>
        </w:rPr>
        <w:t>luxe        = 店舗がLUXE該当</w:t>
        <w:br/>
        <w:t>seniorIn    = 社内役職がSENIOR該当</w:t>
        <w:br/>
        <w:t>juniorOut   = 社外役職がJUNIOR該当</w:t>
        <w:br/>
        <w:t>roleMismatch = seniorIn &amp;&amp; juniorOut</w:t>
        <w:br/>
        <w:t>luxe &amp;&amp; roleMismatch → "相手方偽装疑い(高級店×役職不整合)"</w:t>
        <w:br/>
        <w:t>hidden = (luxe || cat==ゴルフ) &amp;&amp; (noPrior || afterFact)</w:t>
        <w:br/>
        <w:t xml:space="preserve">       → "隠蔽目的の事前申請回避(...)"</w:t>
      </w:r>
    </w:p>
    <w:p>
      <w:r>
        <w:rPr>
          <w:rFonts w:ascii="Meiryo UI" w:hAnsi="Meiryo UI" w:eastAsia="Meiryo UI" w:cs="Meiryo UI"/>
          <w:b/>
          <w:sz w:val="21"/>
        </w:rPr>
        <w:t>⑥ 格付け `grade`</w:t>
      </w:r>
    </w:p>
    <w:p>
      <w:pPr>
        <w:ind w:left="240"/>
        <w:shd w:val="clear" w:fill="F2F4F7"/>
      </w:pPr>
      <w:r>
        <w:rPr>
          <w:rFonts w:ascii="Consolas" w:hAnsi="Consolas" w:eastAsia="Consolas" w:cs="Consolas"/>
          <w:sz w:val="18"/>
        </w:rPr>
        <w:t>if ((luxe &amp;&amp; roleMismatch) || hidden)            → "要改善"</w:t>
        <w:br/>
        <w:t>else if フラグに 隠れ交際費/社内飲食費/福利厚生費/</w:t>
        <w:br/>
        <w:t xml:space="preserve">        決裁遅延/事後決裁(理由なし)/事前申請なし/接待旅費 → "要改善(軽微)"</w:t>
        <w:br/>
        <w:t>else if フラグに 事後決裁(理由あり)                → "注意"</w:t>
        <w:br/>
        <w:t>else                                             → "適正"</w:t>
      </w:r>
    </w:p>
    <w:p>
      <w:r>
        <w:rPr>
          <w:rFonts w:ascii="Meiryo UI" w:hAnsi="Meiryo UI" w:eastAsia="Meiryo UI" w:cs="Meiryo UI"/>
          <w:b/>
          <w:sz w:val="21"/>
        </w:rPr>
        <w:t>⑦ 税務取扱・適正根拠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tax_treat = 交際費なら「交際費等（損金不算入）」、他は「損金算入可能（交際費除外）」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適正時のみ basis（登録区分・費目・1人あたり・事前決裁・遅延なし・科目一致）を生成</w:t>
      </w:r>
    </w:p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4.3 戻り値</w:t>
      </w:r>
    </w:p>
    <w:p>
      <w:r>
        <w:rPr>
          <w:rFonts w:ascii="Meiryo UI" w:hAnsi="Meiryo UI" w:eastAsia="Meiryo UI" w:cs="Meiryo UI"/>
          <w:b w:val="0"/>
          <w:sz w:val="21"/>
        </w:rPr>
        <w:t>audit() は次のオブジェクトを返す：</w:t>
      </w:r>
    </w:p>
    <w:p>
      <w:r>
        <w:rPr>
          <w:rFonts w:ascii="Meiryo UI" w:hAnsi="Meiryo UI" w:eastAsia="Meiryo UI" w:cs="Meiryo UI"/>
          <w:b w:val="0"/>
          <w:sz w:val="21"/>
        </w:rPr>
        <w:t>{r, gross, ppl, ext, registered, body, vat, taxExcl, per, judged, applied, delay, flags, grade, tax_treat, luxe, roleMismatch, basis, cat}</w:t>
      </w:r>
    </w:p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4.4 描画 `render(cfg)`</w:t>
      </w:r>
    </w:p>
    <w:p>
      <w:pPr>
        <w:pStyle w:val="ListNumber"/>
      </w:pPr>
      <w:r>
        <w:rPr>
          <w:rFonts w:ascii="Meiryo UI" w:hAnsi="Meiryo UI" w:eastAsia="Meiryo UI" w:cs="Meiryo UI"/>
          <w:b w:val="0"/>
          <w:sz w:val="21"/>
        </w:rPr>
        <w:t>格付け件数を集計しKPIダッシュボードを描画</w:t>
      </w:r>
    </w:p>
    <w:p>
      <w:pPr>
        <w:pStyle w:val="ListNumber"/>
      </w:pPr>
      <w:r>
        <w:rPr>
          <w:rFonts w:ascii="Meiryo UI" w:hAnsi="Meiryo UI" w:eastAsia="Meiryo UI" w:cs="Meiryo UI"/>
          <w:b w:val="0"/>
          <w:sz w:val="21"/>
        </w:rPr>
        <w:t>全件を判定一覧テーブルに描画（格付けで行に色クラス付与）</w:t>
      </w:r>
    </w:p>
    <w:p>
      <w:pPr>
        <w:pStyle w:val="ListNumber"/>
      </w:pPr>
      <w:r>
        <w:rPr>
          <w:rFonts w:ascii="Meiryo UI" w:hAnsi="Meiryo UI" w:eastAsia="Meiryo UI" w:cs="Meiryo UI"/>
          <w:b w:val="0"/>
          <w:sz w:val="21"/>
        </w:rPr>
        <w:t>疑義案件（適正以外）を抽出し、監査内容確認書を生成</w:t>
      </w:r>
    </w:p>
    <w:p>
      <w:pPr>
        <w:pStyle w:val="ListNumber"/>
      </w:pPr>
      <w:r>
        <w:rPr>
          <w:rFonts w:ascii="Meiryo UI" w:hAnsi="Meiryo UI" w:eastAsia="Meiryo UI" w:cs="Meiryo UI"/>
          <w:b w:val="0"/>
          <w:sz w:val="21"/>
        </w:rPr>
        <w:t>確認書データを CONFIRMATIONS 配列に蓄積（出力用）</w:t>
      </w:r>
    </w:p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4.5 確認書の質問生成ロジック</w:t>
      </w:r>
    </w:p>
    <w:p>
      <w:r>
        <w:rPr>
          <w:rFonts w:ascii="Meiryo UI" w:hAnsi="Meiryo UI" w:eastAsia="Meiryo UI" w:cs="Meiryo UI"/>
          <w:b w:val="0"/>
          <w:sz w:val="21"/>
        </w:rPr>
        <w:t>検知フラグに応じて質問文を動的に組み立てる：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申請≠判定科目 … 費目別の科目根拠を質問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社内飲食費を会議費計上 … 会議の実態を質問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社外混入の福利厚生費 … 慰安行事該当性を質問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事前申請なし／事後決裁 … 事後決裁理由を質問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決裁遅延 … 遅延理由を質問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高級店×役職不整合 … 参加者の氏名・所属・役職・店舗選定理由を質問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該当なし … 補足説明を求める汎用質問</w:t>
      </w:r>
    </w:p>
    <w:p>
      <w:pPr>
        <w:pBdr>
          <w:bottom w:val="single" w:sz="6" w:space="1" w:color="AAB4BE"/>
        </w:pBdr>
      </w:pPr>
    </w:p>
    <w:p>
      <w:pPr>
        <w:spacing w:before="200" w:after="80"/>
      </w:pPr>
      <w:r>
        <w:rPr>
          <w:rFonts w:ascii="Meiryo UI" w:hAnsi="Meiryo UI" w:eastAsia="Meiryo UI" w:cs="Meiryo UI"/>
          <w:b/>
          <w:color w:val="15436F"/>
          <w:sz w:val="28"/>
        </w:rPr>
        <w:t>5. 出力仕様</w:t>
      </w:r>
    </w:p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5.1 結果CSV `downloadCsv()`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ファイル名：kosaihi_audit_results.csv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BOM付きUTF-8、ダブルクォート囲み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列：精算申請ID, 総合評価, 店舗, 税込, 監査用税抜, 1人あたり, 申請科目, 判定科目, 税務取扱, 検知フラグ</w:t>
      </w:r>
    </w:p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5.2 確認書CSV `downloadConfCsv()`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ファイル名：監査内容確認書.csv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改行コード CRLF、質問1問=1行で展開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列：確認書発行日, 精算申請ID, 被監査部門, 総合評価, 指摘区分, 利用店舗, 金額税込, 1人あたり税抜, 税務上の扱い, 質問No, 質問内容, ご回答, 回答期限, ご回答者, 提示証跡</w:t>
      </w:r>
    </w:p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5.3 確認書Excel `downloadConfExcel()`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ファイル名：監査内容確認書.xls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HTMLテーブルを application/vnd.ms-excel で出力する方式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案件ごとに帳票形式（ヘッダ／所見／質問＋回答欄／証跡チェックリスト／回答者欄）</w:t>
      </w:r>
    </w:p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5.4 AIプロンプト `copyPrompt()`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STEP1〜STEP3の監査方針・指摘レベル・出力形式を定義したプロンプト文字列 PROMPT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Copilot / Gemini 等の外部生成AIへ貼り付けて定性判定に利用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クリップボードAPI（navigator.clipboard.writeText）でコピー</w:t>
      </w:r>
    </w:p>
    <w:p>
      <w:pPr>
        <w:pBdr>
          <w:bottom w:val="single" w:sz="6" w:space="1" w:color="AAB4BE"/>
        </w:pBdr>
      </w:pPr>
    </w:p>
    <w:p>
      <w:pPr>
        <w:spacing w:before="200" w:after="80"/>
      </w:pPr>
      <w:r>
        <w:rPr>
          <w:rFonts w:ascii="Meiryo UI" w:hAnsi="Meiryo UI" w:eastAsia="Meiryo UI" w:cs="Meiryo UI"/>
          <w:b/>
          <w:color w:val="15436F"/>
          <w:sz w:val="28"/>
        </w:rPr>
        <w:t>6. 状態管理（グローバル変数）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変数</w:t>
            </w:r>
          </w:p>
        </w:tc>
        <w:tc>
          <w:tcPr>
            <w:tcW w:type="dxa" w:w="432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SAMPLE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サンプルデータ配列（全評価パターン網羅）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COLS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入力列定義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RESULTS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直近の監査実行結果（audit()の配列）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CONFIRMATIONS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確認書出力用データ配列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GMAP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格付け→CSSクラスの対応マップ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PROMPT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AIプロンプト文字列</w:t>
            </w:r>
          </w:p>
        </w:tc>
      </w:tr>
    </w:tbl>
    <w:p/>
    <w:p>
      <w:pPr>
        <w:pBdr>
          <w:bottom w:val="single" w:sz="6" w:space="1" w:color="AAB4BE"/>
        </w:pBdr>
      </w:pPr>
    </w:p>
    <w:p>
      <w:pPr>
        <w:spacing w:before="200" w:after="80"/>
      </w:pPr>
      <w:r>
        <w:rPr>
          <w:rFonts w:ascii="Meiryo UI" w:hAnsi="Meiryo UI" w:eastAsia="Meiryo UI" w:cs="Meiryo UI"/>
          <w:b/>
          <w:color w:val="15436F"/>
          <w:sz w:val="28"/>
        </w:rPr>
        <w:t>7. 初期化・イベント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ページ読込時に loadSample() を自動実行し、サンプルを入力欄へ展開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promptBox に PROMPT を初期表示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監査実行・各出力はボタンの onclick で呼び出し（イベントリスナ登録なしのインライン方式）</w:t>
      </w:r>
    </w:p>
    <w:p>
      <w:pPr>
        <w:pBdr>
          <w:bottom w:val="single" w:sz="6" w:space="1" w:color="AAB4BE"/>
        </w:pBdr>
      </w:pPr>
    </w:p>
    <w:p>
      <w:pPr>
        <w:spacing w:before="200" w:after="80"/>
      </w:pPr>
      <w:r>
        <w:rPr>
          <w:rFonts w:ascii="Meiryo UI" w:hAnsi="Meiryo UI" w:eastAsia="Meiryo UI" w:cs="Meiryo UI"/>
          <w:b/>
          <w:color w:val="15436F"/>
          <w:sz w:val="28"/>
        </w:rPr>
        <w:t>8. エラーハンドリング・制約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ケース</w:t>
            </w:r>
          </w:p>
        </w:tc>
        <w:tc>
          <w:tcPr>
            <w:tcW w:type="dxa" w:w="4320"/>
            <w:shd w:val="clear" w:fill="15436F"/>
          </w:tcPr>
          <w:p>
            <w:r/>
            <w:r>
              <w:rPr>
                <w:rFonts w:ascii="Meiryo UI" w:hAnsi="Meiryo UI" w:eastAsia="Meiryo UI" w:cs="Meiryo UI"/>
                <w:b/>
                <w:color w:val="FFFFFF"/>
                <w:sz w:val="19"/>
              </w:rPr>
              <w:t>挙動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入力データなしで監査実行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「データがありません」案内を表示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結果なしでCSV出力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アラート「先に監査を実行してください」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疑義なしで確認書出力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アラート「疑義案件がありません」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不正な日付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days() がNaNとなり該当判定はスキップ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人数0</w:t>
            </w:r>
          </w:p>
        </w:tc>
        <w:tc>
          <w:tcPr>
            <w:tcW w:type="dxa" w:w="4320"/>
          </w:tcPr>
          <w:p>
            <w:r/>
            <w:r>
              <w:rPr>
                <w:rFonts w:ascii="Meiryo UI" w:hAnsi="Meiryo UI" w:eastAsia="Meiryo UI" w:cs="Meiryo UI"/>
                <w:b w:val="0"/>
                <w:sz w:val="19"/>
              </w:rPr>
              <w:t>最低1名として扱い0除算を回避</w:t>
            </w:r>
          </w:p>
        </w:tc>
      </w:tr>
    </w:tbl>
    <w:p/>
    <w:p>
      <w:pPr>
        <w:spacing w:before="120" w:after="80"/>
      </w:pPr>
      <w:r>
        <w:rPr>
          <w:rFonts w:ascii="Meiryo UI" w:hAnsi="Meiryo UI" w:eastAsia="Meiryo UI" w:cs="Meiryo UI"/>
          <w:b/>
          <w:color w:val="15436F"/>
          <w:sz w:val="24"/>
        </w:rPr>
        <w:t>8.1 既知の制約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店舗名・申請科目からの推定判定のため、表記揺れに弱い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経過措置率・税率は固定初期値（画面で変更可）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ブラウザのクリップボード／ダウンロードAPIに依存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単一ファイル構成のため、ロジックとデータが密結合</w:t>
      </w:r>
    </w:p>
    <w:p>
      <w:pPr>
        <w:pBdr>
          <w:bottom w:val="single" w:sz="6" w:space="1" w:color="AAB4BE"/>
        </w:pBdr>
      </w:pPr>
    </w:p>
    <w:p>
      <w:pPr>
        <w:spacing w:before="200" w:after="80"/>
      </w:pPr>
      <w:r>
        <w:rPr>
          <w:rFonts w:ascii="Meiryo UI" w:hAnsi="Meiryo UI" w:eastAsia="Meiryo UI" w:cs="Meiryo UI"/>
          <w:b/>
          <w:color w:val="15436F"/>
          <w:sz w:val="28"/>
        </w:rPr>
        <w:t>9. テストパターン（サンプルデータ）</w:t>
      </w:r>
    </w:p>
    <w:p>
      <w:r>
        <w:rPr>
          <w:rFonts w:ascii="Meiryo UI" w:hAnsi="Meiryo UI" w:eastAsia="Meiryo UI" w:cs="Meiryo UI"/>
          <w:b w:val="0"/>
          <w:sz w:val="21"/>
        </w:rPr>
        <w:t>サンプルには以下の評価パターンが含まれる：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適正な会議費（1人あたり基準以下・事前決裁あり）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1万円超の隠れ交際費（会議費申請→交際費判定）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社内のみ飲食の会議費計上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福利厚生費への社外混入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ゴルフ接待の費目分散（旅費交通費計上等）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手土産・贈答の会議費計上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未登録店（経過措置による税抜価額上乗せ）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事前申請なし／事後決裁（理由あり・理由なし）／決裁遅延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高級店×役職不整合（相手方偽装疑い）</w:t>
      </w:r>
    </w:p>
    <w:p>
      <w:pPr>
        <w:pStyle w:val="ListBullet"/>
      </w:pPr>
      <w:r>
        <w:rPr>
          <w:rFonts w:ascii="Meiryo UI" w:hAnsi="Meiryo UI" w:eastAsia="Meiryo UI" w:cs="Meiryo UI"/>
          <w:b w:val="0"/>
          <w:sz w:val="21"/>
        </w:rPr>
        <w:t>高級店・ゴルフ×事前申請回避（隠蔽リスク）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