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Questions on EM, PCA, ICA, Factor Analysis, and Learning Theory</w:t>
      </w:r>
    </w:p>
    <w:p>
      <w:pPr>
        <w:pStyle w:val="Heading2"/>
      </w:pPr>
      <w:r>
        <w:t>Mathematics-Based (3)</w:t>
      </w:r>
    </w:p>
    <w:p>
      <w:r>
        <w:t>1. Expectation Maximization (EM): Derive the E-step and M-step updates for a Gaussian Mixture Model (GMM) with two components.</w:t>
      </w:r>
    </w:p>
    <w:p>
      <w:r>
        <w:t>2. Principal Component Analysis (PCA): Show that the first principal component corresponds to the eigenvector of the covariance matrix with the largest eigenvalue.</w:t>
      </w:r>
    </w:p>
    <w:p>
      <w:r>
        <w:t>3. VC Dimension: Prove that the VC dimension of a linear classifier in R^n is (n+1).</w:t>
      </w:r>
    </w:p>
    <w:p>
      <w:pPr>
        <w:pStyle w:val="Heading2"/>
      </w:pPr>
      <w:r>
        <w:t>Research-Based (2)</w:t>
      </w:r>
    </w:p>
    <w:p>
      <w:r>
        <w:t>4. Compare PCA, Kernel PCA, and ICA in terms of mathematical foundations, assumptions, and real-world applications.</w:t>
      </w:r>
    </w:p>
    <w:p>
      <w:r>
        <w:t>5. Discuss how Bias-Variance Tradeoff influences model selection in modern machine learning, citing two recent research examples.</w:t>
      </w:r>
    </w:p>
    <w:p>
      <w:pPr>
        <w:pStyle w:val="Heading2"/>
      </w:pPr>
      <w:r>
        <w:t>Analysis-Based (5)</w:t>
      </w:r>
    </w:p>
    <w:p>
      <w:r>
        <w:t>6. Given a dataset of handwritten digits (MNIST), explain how Incremental PCA could be applied for dimensionality reduction when the dataset cannot fit into memory.</w:t>
      </w:r>
    </w:p>
    <w:p>
      <w:r>
        <w:t>7. Apply Factor Analysis to a psychological survey dataset with 50 questions and explain how latent factors can be interpreted.</w:t>
      </w:r>
    </w:p>
    <w:p>
      <w:r>
        <w:t>8. A company applies Randomized PCA for image compression. Discuss trade-offs between accuracy and computational efficiency compared to standard PCA.</w:t>
      </w:r>
    </w:p>
    <w:p>
      <w:r>
        <w:t>9. Explain with an example how Chernoff and Hoeffding bounds provide probabilistic guarantees for classification error rates.</w:t>
      </w:r>
    </w:p>
    <w:p>
      <w:r>
        <w:t>10. A deep learning model shows high variance on training data. Propose methods to control the bias/variance tradeoff and justify your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