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16BE" w:rsidRPr="003216BE" w:rsidRDefault="009F7118" w:rsidP="00406D5D">
      <w:pPr>
        <w:pStyle w:val="Heading1"/>
        <w:spacing w:line="360" w:lineRule="auto"/>
        <w:jc w:val="both"/>
        <w:rPr>
          <w:rFonts w:eastAsia="Times New Roman"/>
          <w:b/>
        </w:rPr>
      </w:pPr>
      <w:r w:rsidRPr="009F7118">
        <w:rPr>
          <w:rFonts w:eastAsia="Times New Roman"/>
          <w:b/>
        </w:rPr>
        <w:t>IMF Dashboard Analysis of Global Economic Indicators</w:t>
      </w:r>
    </w:p>
    <w:p w:rsidR="008B06BB" w:rsidRDefault="00CA7E44" w:rsidP="00406D5D">
      <w:pPr>
        <w:pStyle w:val="Heading2"/>
        <w:spacing w:line="360" w:lineRule="auto"/>
        <w:jc w:val="both"/>
      </w:pPr>
      <w:r>
        <w:rPr>
          <w:rStyle w:val="Strong"/>
        </w:rPr>
        <w:t>1.0</w:t>
      </w:r>
      <w:r w:rsidR="008B06BB">
        <w:rPr>
          <w:rStyle w:val="Strong"/>
        </w:rPr>
        <w:tab/>
      </w:r>
      <w:r w:rsidR="008B06BB">
        <w:rPr>
          <w:rStyle w:val="Strong"/>
        </w:rPr>
        <w:t>Introduction</w:t>
      </w:r>
    </w:p>
    <w:p w:rsidR="00B5114F" w:rsidRPr="00B5114F" w:rsidRDefault="00B5114F" w:rsidP="00406D5D">
      <w:pPr>
        <w:spacing w:after="0" w:line="360" w:lineRule="auto"/>
        <w:jc w:val="both"/>
        <w:rPr>
          <w:rFonts w:ascii="Times New Roman" w:eastAsia="Times New Roman" w:hAnsi="Times New Roman" w:cs="Times New Roman"/>
          <w:sz w:val="24"/>
          <w:szCs w:val="24"/>
        </w:rPr>
      </w:pPr>
      <w:r w:rsidRPr="00B5114F">
        <w:rPr>
          <w:rFonts w:ascii="Times New Roman" w:eastAsia="Times New Roman" w:hAnsi="Times New Roman" w:cs="Times New Roman"/>
          <w:sz w:val="24"/>
          <w:szCs w:val="24"/>
        </w:rPr>
        <w:t xml:space="preserve">The IMF's viewpoint on various countries' growth is significant because it provides an unbiased evaluation of the prospects in such countries and puts them in a broader context (Area, 2019). Key economic indicators are analyzed in this research utilizing information from the International Monetary Fund's (IMF) Global Economic Outlook, which covers a variety of metrics from 2001 to 2020. This information was used to generate a dashboard that shows national and regional GDP, inflation, unemployment, government debt, and other measures. In order to evaluate economic health, help policymakers make wise decisions, and facilitate cross-economy comparisons, these indicators are crucial. This research examines major influences on economic outcomes, regional variations, and changes in these variables across time. </w:t>
      </w:r>
    </w:p>
    <w:p w:rsidR="00623984" w:rsidRPr="003216BE" w:rsidRDefault="00623984" w:rsidP="00406D5D">
      <w:pPr>
        <w:spacing w:line="360" w:lineRule="auto"/>
        <w:jc w:val="both"/>
        <w:rPr>
          <w:rFonts w:ascii="Times New Roman" w:hAnsi="Times New Roman" w:cs="Times New Roman"/>
          <w:sz w:val="24"/>
          <w:szCs w:val="24"/>
        </w:rPr>
      </w:pPr>
      <w:r w:rsidRPr="00623984">
        <w:rPr>
          <w:rFonts w:ascii="Times New Roman" w:hAnsi="Times New Roman" w:cs="Times New Roman"/>
          <w:sz w:val="24"/>
          <w:szCs w:val="24"/>
        </w:rPr>
        <w:t xml:space="preserve">The </w:t>
      </w:r>
      <w:r>
        <w:rPr>
          <w:rFonts w:ascii="Times New Roman" w:hAnsi="Times New Roman" w:cs="Times New Roman"/>
          <w:sz w:val="24"/>
          <w:szCs w:val="24"/>
        </w:rPr>
        <w:t xml:space="preserve">Power BI </w:t>
      </w:r>
      <w:r w:rsidRPr="00623984">
        <w:rPr>
          <w:rFonts w:ascii="Times New Roman" w:hAnsi="Times New Roman" w:cs="Times New Roman"/>
          <w:sz w:val="24"/>
          <w:szCs w:val="24"/>
        </w:rPr>
        <w:t>dashboard offers insights into economic metrics such as GDP, inflation, unemployment, government debt, national savings, and total investment across various regions. presents an in</w:t>
      </w:r>
      <w:r>
        <w:rPr>
          <w:rFonts w:ascii="Times New Roman" w:hAnsi="Times New Roman" w:cs="Times New Roman"/>
          <w:sz w:val="24"/>
          <w:szCs w:val="24"/>
        </w:rPr>
        <w:t>-</w:t>
      </w:r>
      <w:r w:rsidRPr="00623984">
        <w:rPr>
          <w:rFonts w:ascii="Times New Roman" w:hAnsi="Times New Roman" w:cs="Times New Roman"/>
          <w:sz w:val="24"/>
          <w:szCs w:val="24"/>
        </w:rPr>
        <w:t>depth analysis of the IMF Global Economic Dashboard, a Power BI tool designed to visualize and interpret global economic indicators</w:t>
      </w:r>
      <w:r w:rsidRPr="00623984">
        <w:rPr>
          <w:rFonts w:ascii="Times New Roman" w:hAnsi="Times New Roman" w:cs="Times New Roman"/>
          <w:sz w:val="24"/>
          <w:szCs w:val="24"/>
        </w:rPr>
        <w:t xml:space="preserve"> </w:t>
      </w:r>
    </w:p>
    <w:p w:rsidR="00DF6F53" w:rsidRDefault="00DF6F53" w:rsidP="00406D5D">
      <w:pPr>
        <w:pStyle w:val="Heading2"/>
        <w:spacing w:line="360" w:lineRule="auto"/>
        <w:jc w:val="both"/>
        <w:rPr>
          <w:rStyle w:val="Strong"/>
        </w:rPr>
      </w:pPr>
      <w:r>
        <w:rPr>
          <w:rStyle w:val="Strong"/>
        </w:rPr>
        <w:t>2.0 Data Preparation</w:t>
      </w:r>
    </w:p>
    <w:p w:rsidR="005E6250" w:rsidRDefault="005E6250" w:rsidP="00406D5D">
      <w:pPr>
        <w:spacing w:after="0" w:line="360" w:lineRule="auto"/>
        <w:jc w:val="both"/>
        <w:rPr>
          <w:rFonts w:ascii="Times New Roman" w:eastAsia="Times New Roman" w:hAnsi="Times New Roman" w:cs="Times New Roman"/>
          <w:sz w:val="24"/>
          <w:szCs w:val="24"/>
        </w:rPr>
      </w:pPr>
      <w:r w:rsidRPr="005E6250">
        <w:rPr>
          <w:rFonts w:ascii="Times New Roman" w:eastAsia="Times New Roman" w:hAnsi="Times New Roman" w:cs="Times New Roman"/>
          <w:sz w:val="24"/>
          <w:szCs w:val="24"/>
        </w:rPr>
        <w:t>Data preparation was critical because it guarantees that the data is correct, consistent, and structured, hence improving the quality of analysis and modeling. Without adequate preparation, data inaccuracies, inconsistencies, or irrelevant information can result in erroneous results or flawed conclusions. Data preparation was critical for this research because it ensured that the data was ready to analyze.</w:t>
      </w:r>
    </w:p>
    <w:p w:rsidR="005E6250" w:rsidRPr="005E6250" w:rsidRDefault="005E6250" w:rsidP="00406D5D">
      <w:pPr>
        <w:spacing w:after="0" w:line="360" w:lineRule="auto"/>
        <w:jc w:val="both"/>
        <w:rPr>
          <w:rFonts w:ascii="Times New Roman" w:eastAsia="Times New Roman" w:hAnsi="Times New Roman" w:cs="Times New Roman"/>
          <w:sz w:val="24"/>
          <w:szCs w:val="24"/>
        </w:rPr>
      </w:pPr>
    </w:p>
    <w:p w:rsidR="00DF6F53" w:rsidRDefault="0085364F" w:rsidP="00406D5D">
      <w:pPr>
        <w:pStyle w:val="Heading2"/>
        <w:spacing w:line="360" w:lineRule="auto"/>
        <w:jc w:val="both"/>
      </w:pPr>
      <w:r>
        <w:t xml:space="preserve">2.1 </w:t>
      </w:r>
      <w:r>
        <w:t>Data Collection</w:t>
      </w:r>
    </w:p>
    <w:p w:rsidR="005E6250" w:rsidRDefault="005E6250" w:rsidP="00406D5D">
      <w:pPr>
        <w:spacing w:after="0" w:line="360" w:lineRule="auto"/>
        <w:jc w:val="both"/>
        <w:rPr>
          <w:rFonts w:ascii="Times New Roman" w:eastAsia="Times New Roman" w:hAnsi="Times New Roman" w:cs="Times New Roman"/>
          <w:sz w:val="24"/>
          <w:szCs w:val="24"/>
        </w:rPr>
      </w:pPr>
      <w:r w:rsidRPr="005E6250">
        <w:rPr>
          <w:rFonts w:ascii="Times New Roman" w:eastAsia="Times New Roman" w:hAnsi="Times New Roman" w:cs="Times New Roman"/>
          <w:sz w:val="24"/>
          <w:szCs w:val="24"/>
        </w:rPr>
        <w:t>The data was obtained from the International Monetary Fund's (IMF) Global Economic Outlook, which includes a variety of statistics covering the period 2001-2020. It contained the data, metadata, and country groups. These datasets spanned multiple areas and socioeconomic classes, allowing for the collection of high-level indicators required for global and regional research.</w:t>
      </w:r>
    </w:p>
    <w:p w:rsidR="005E6250" w:rsidRPr="005E6250" w:rsidRDefault="005E6250" w:rsidP="00406D5D">
      <w:pPr>
        <w:spacing w:after="0" w:line="360" w:lineRule="auto"/>
        <w:jc w:val="both"/>
        <w:rPr>
          <w:rFonts w:ascii="Times New Roman" w:eastAsia="Times New Roman" w:hAnsi="Times New Roman" w:cs="Times New Roman"/>
          <w:sz w:val="24"/>
          <w:szCs w:val="24"/>
        </w:rPr>
      </w:pPr>
    </w:p>
    <w:p w:rsidR="001F009A" w:rsidRDefault="001F009A" w:rsidP="00406D5D">
      <w:pPr>
        <w:pStyle w:val="Heading2"/>
        <w:spacing w:line="360" w:lineRule="auto"/>
        <w:jc w:val="both"/>
      </w:pPr>
      <w:r>
        <w:lastRenderedPageBreak/>
        <w:t>2.2 Data Cleaning</w:t>
      </w:r>
    </w:p>
    <w:p w:rsidR="005E6250" w:rsidRDefault="005E6250" w:rsidP="00406D5D">
      <w:pPr>
        <w:pStyle w:val="ListParagraph"/>
        <w:numPr>
          <w:ilvl w:val="0"/>
          <w:numId w:val="13"/>
        </w:numPr>
        <w:spacing w:after="240" w:line="360" w:lineRule="auto"/>
        <w:jc w:val="both"/>
        <w:rPr>
          <w:rFonts w:ascii="Times New Roman" w:eastAsia="Times New Roman" w:hAnsi="Times New Roman" w:cs="Times New Roman"/>
          <w:sz w:val="24"/>
          <w:szCs w:val="24"/>
        </w:rPr>
      </w:pPr>
      <w:r w:rsidRPr="005E6250">
        <w:rPr>
          <w:rFonts w:ascii="Times New Roman" w:eastAsia="Times New Roman" w:hAnsi="Times New Roman" w:cs="Times New Roman"/>
          <w:sz w:val="24"/>
          <w:szCs w:val="24"/>
        </w:rPr>
        <w:t>Data cleaning is critical for ensuring accuracy and consistency in analysis. The dat</w:t>
      </w:r>
      <w:r>
        <w:rPr>
          <w:rFonts w:ascii="Times New Roman" w:eastAsia="Times New Roman" w:hAnsi="Times New Roman" w:cs="Times New Roman"/>
          <w:sz w:val="24"/>
          <w:szCs w:val="24"/>
        </w:rPr>
        <w:t xml:space="preserve">a cleansing method involved: </w:t>
      </w:r>
    </w:p>
    <w:p w:rsidR="005E6250" w:rsidRDefault="005E6250" w:rsidP="00406D5D">
      <w:pPr>
        <w:pStyle w:val="ListParagraph"/>
        <w:numPr>
          <w:ilvl w:val="0"/>
          <w:numId w:val="13"/>
        </w:numPr>
        <w:spacing w:after="240" w:line="360" w:lineRule="auto"/>
        <w:jc w:val="both"/>
        <w:rPr>
          <w:rFonts w:ascii="Times New Roman" w:eastAsia="Times New Roman" w:hAnsi="Times New Roman" w:cs="Times New Roman"/>
          <w:sz w:val="24"/>
          <w:szCs w:val="24"/>
        </w:rPr>
      </w:pPr>
      <w:r w:rsidRPr="005E6250">
        <w:rPr>
          <w:rFonts w:ascii="Times New Roman" w:eastAsia="Times New Roman" w:hAnsi="Times New Roman" w:cs="Times New Roman"/>
          <w:sz w:val="24"/>
          <w:szCs w:val="24"/>
        </w:rPr>
        <w:t>Removed rows with null values to prevent problems in computations and visualizations. This guaranteed that only complete records were saved, hen</w:t>
      </w:r>
      <w:r>
        <w:rPr>
          <w:rFonts w:ascii="Times New Roman" w:eastAsia="Times New Roman" w:hAnsi="Times New Roman" w:cs="Times New Roman"/>
          <w:sz w:val="24"/>
          <w:szCs w:val="24"/>
        </w:rPr>
        <w:t>ce improving data integrity.</w:t>
      </w:r>
    </w:p>
    <w:p w:rsidR="005E6250" w:rsidRDefault="005E6250" w:rsidP="00406D5D">
      <w:pPr>
        <w:pStyle w:val="ListParagraph"/>
        <w:numPr>
          <w:ilvl w:val="0"/>
          <w:numId w:val="13"/>
        </w:numPr>
        <w:spacing w:after="240" w:line="360" w:lineRule="auto"/>
        <w:jc w:val="both"/>
        <w:rPr>
          <w:rFonts w:ascii="Times New Roman" w:eastAsia="Times New Roman" w:hAnsi="Times New Roman" w:cs="Times New Roman"/>
          <w:sz w:val="24"/>
          <w:szCs w:val="24"/>
        </w:rPr>
      </w:pPr>
      <w:r w:rsidRPr="005E6250">
        <w:rPr>
          <w:rFonts w:ascii="Times New Roman" w:eastAsia="Times New Roman" w:hAnsi="Times New Roman" w:cs="Times New Roman"/>
          <w:sz w:val="24"/>
          <w:szCs w:val="24"/>
        </w:rPr>
        <w:t>To ensure consistency, numeric columns were standardized as whole numbers or decimals based on the data type. This provided interoperability with Power BI's analytical tools while minimizi</w:t>
      </w:r>
      <w:r>
        <w:rPr>
          <w:rFonts w:ascii="Times New Roman" w:eastAsia="Times New Roman" w:hAnsi="Times New Roman" w:cs="Times New Roman"/>
          <w:sz w:val="24"/>
          <w:szCs w:val="24"/>
        </w:rPr>
        <w:t xml:space="preserve">ng computation difficulties. </w:t>
      </w:r>
    </w:p>
    <w:p w:rsidR="005E6250" w:rsidRPr="005E6250" w:rsidRDefault="005E6250" w:rsidP="00406D5D">
      <w:pPr>
        <w:pStyle w:val="ListParagraph"/>
        <w:numPr>
          <w:ilvl w:val="0"/>
          <w:numId w:val="13"/>
        </w:numPr>
        <w:spacing w:after="240" w:line="360" w:lineRule="auto"/>
        <w:jc w:val="both"/>
        <w:rPr>
          <w:rFonts w:ascii="Times New Roman" w:eastAsia="Times New Roman" w:hAnsi="Times New Roman" w:cs="Times New Roman"/>
          <w:sz w:val="24"/>
          <w:szCs w:val="24"/>
        </w:rPr>
      </w:pPr>
      <w:r w:rsidRPr="005E6250">
        <w:rPr>
          <w:rFonts w:ascii="Times New Roman" w:eastAsia="Times New Roman" w:hAnsi="Times New Roman" w:cs="Times New Roman"/>
          <w:sz w:val="24"/>
          <w:szCs w:val="24"/>
        </w:rPr>
        <w:t xml:space="preserve">Validated data types for each column based on their intended purpose. For example, categorical columns (such as regions and income classes) were set as text fields, and numerical columns (such as GDP and population) were set as numbers. </w:t>
      </w:r>
    </w:p>
    <w:p w:rsidR="003F22A9" w:rsidRDefault="003F22A9" w:rsidP="00406D5D">
      <w:pPr>
        <w:pStyle w:val="Heading2"/>
        <w:spacing w:line="360" w:lineRule="auto"/>
        <w:jc w:val="both"/>
      </w:pPr>
      <w:r>
        <w:t>2.3 Data Modeling</w:t>
      </w:r>
    </w:p>
    <w:p w:rsidR="005E6250" w:rsidRDefault="005E6250" w:rsidP="00406D5D">
      <w:pPr>
        <w:spacing w:after="240" w:line="360" w:lineRule="auto"/>
        <w:jc w:val="both"/>
        <w:rPr>
          <w:rFonts w:ascii="Times New Roman" w:eastAsia="Times New Roman" w:hAnsi="Times New Roman" w:cs="Times New Roman"/>
          <w:sz w:val="24"/>
          <w:szCs w:val="24"/>
        </w:rPr>
      </w:pPr>
      <w:r w:rsidRPr="005E6250">
        <w:rPr>
          <w:rFonts w:ascii="Times New Roman" w:eastAsia="Times New Roman" w:hAnsi="Times New Roman" w:cs="Times New Roman"/>
          <w:sz w:val="24"/>
          <w:szCs w:val="24"/>
        </w:rPr>
        <w:t xml:space="preserve">Upon cleaning, the data was prepared for analysis by building links among the datasets - nation groups, metadata, and data. Power BI's data modeling enabled the integration of numerous tables, allowing for intricate relationships between datasets. </w:t>
      </w:r>
      <w:r w:rsidRPr="005E6250">
        <w:rPr>
          <w:rFonts w:ascii="Times New Roman" w:eastAsia="Times New Roman" w:hAnsi="Times New Roman" w:cs="Times New Roman"/>
          <w:sz w:val="24"/>
          <w:szCs w:val="24"/>
        </w:rPr>
        <w:br/>
        <w:t>The data modeling approach involved s</w:t>
      </w:r>
      <w:r>
        <w:rPr>
          <w:rFonts w:ascii="Times New Roman" w:eastAsia="Times New Roman" w:hAnsi="Times New Roman" w:cs="Times New Roman"/>
          <w:sz w:val="24"/>
          <w:szCs w:val="24"/>
        </w:rPr>
        <w:t xml:space="preserve">everal key steps, including: </w:t>
      </w:r>
      <w:r>
        <w:rPr>
          <w:rFonts w:ascii="Times New Roman" w:eastAsia="Times New Roman" w:hAnsi="Times New Roman" w:cs="Times New Roman"/>
          <w:sz w:val="24"/>
          <w:szCs w:val="24"/>
        </w:rPr>
        <w:br/>
      </w:r>
    </w:p>
    <w:p w:rsidR="005E6250" w:rsidRDefault="005E6250" w:rsidP="00406D5D">
      <w:pPr>
        <w:pStyle w:val="ListParagraph"/>
        <w:numPr>
          <w:ilvl w:val="0"/>
          <w:numId w:val="14"/>
        </w:numPr>
        <w:spacing w:after="240" w:line="360" w:lineRule="auto"/>
        <w:jc w:val="both"/>
        <w:rPr>
          <w:rFonts w:ascii="Times New Roman" w:eastAsia="Times New Roman" w:hAnsi="Times New Roman" w:cs="Times New Roman"/>
          <w:sz w:val="24"/>
          <w:szCs w:val="24"/>
        </w:rPr>
      </w:pPr>
      <w:r w:rsidRPr="005E6250">
        <w:rPr>
          <w:rFonts w:ascii="Times New Roman" w:eastAsia="Times New Roman" w:hAnsi="Times New Roman" w:cs="Times New Roman"/>
          <w:sz w:val="24"/>
          <w:szCs w:val="24"/>
        </w:rPr>
        <w:t>Integrated the Country Grouping Dataset: Using the "Country" column, the country grouping dataset was linked to the main economic data table, providing information on regions and income categories. This enabled filtering and grouping bas</w:t>
      </w:r>
      <w:r>
        <w:rPr>
          <w:rFonts w:ascii="Times New Roman" w:eastAsia="Times New Roman" w:hAnsi="Times New Roman" w:cs="Times New Roman"/>
          <w:sz w:val="24"/>
          <w:szCs w:val="24"/>
        </w:rPr>
        <w:t xml:space="preserve">ed on area and income level. </w:t>
      </w:r>
    </w:p>
    <w:p w:rsidR="005E6250" w:rsidRPr="005E6250" w:rsidRDefault="005E6250" w:rsidP="00406D5D">
      <w:pPr>
        <w:pStyle w:val="ListParagraph"/>
        <w:numPr>
          <w:ilvl w:val="0"/>
          <w:numId w:val="14"/>
        </w:numPr>
        <w:spacing w:after="240" w:line="360" w:lineRule="auto"/>
        <w:jc w:val="both"/>
        <w:rPr>
          <w:rFonts w:ascii="Times New Roman" w:eastAsia="Times New Roman" w:hAnsi="Times New Roman" w:cs="Times New Roman"/>
          <w:sz w:val="24"/>
          <w:szCs w:val="24"/>
        </w:rPr>
      </w:pPr>
      <w:r w:rsidRPr="005E6250">
        <w:rPr>
          <w:rFonts w:ascii="Times New Roman" w:eastAsia="Times New Roman" w:hAnsi="Times New Roman" w:cs="Times New Roman"/>
          <w:sz w:val="24"/>
          <w:szCs w:val="24"/>
        </w:rPr>
        <w:t xml:space="preserve">Established one-to-many links between the nation table and the main data table, enabling accurate filtering by region, country, and income grouping. </w:t>
      </w:r>
    </w:p>
    <w:p w:rsidR="005E6250" w:rsidRPr="005E6250" w:rsidRDefault="005E6250" w:rsidP="00406D5D">
      <w:pPr>
        <w:spacing w:after="0" w:line="360" w:lineRule="auto"/>
        <w:jc w:val="both"/>
        <w:rPr>
          <w:rFonts w:ascii="Times New Roman" w:eastAsia="Times New Roman" w:hAnsi="Times New Roman" w:cs="Times New Roman"/>
          <w:sz w:val="24"/>
          <w:szCs w:val="24"/>
        </w:rPr>
      </w:pPr>
      <w:r w:rsidRPr="005E6250">
        <w:rPr>
          <w:rFonts w:ascii="Times New Roman" w:eastAsia="Times New Roman" w:hAnsi="Times New Roman" w:cs="Times New Roman"/>
          <w:sz w:val="24"/>
          <w:szCs w:val="24"/>
        </w:rPr>
        <w:t>The data modeling method was critical to ensuring that each dataset interacted fluidly, allowing for dynamic filtering and analysis across various economic indicators.</w:t>
      </w:r>
    </w:p>
    <w:p w:rsidR="00151FA5" w:rsidRDefault="00151FA5" w:rsidP="00406D5D">
      <w:pPr>
        <w:spacing w:line="360" w:lineRule="auto"/>
        <w:jc w:val="both"/>
      </w:pPr>
    </w:p>
    <w:p w:rsidR="00151FA5" w:rsidRPr="00151FA5" w:rsidRDefault="00151FA5" w:rsidP="00406D5D">
      <w:pPr>
        <w:pStyle w:val="Heading1"/>
        <w:spacing w:line="360" w:lineRule="auto"/>
        <w:jc w:val="both"/>
        <w:rPr>
          <w:b/>
        </w:rPr>
      </w:pPr>
      <w:r w:rsidRPr="00151FA5">
        <w:rPr>
          <w:b/>
        </w:rPr>
        <w:t>3. Dashboard Design and Visualizations</w:t>
      </w:r>
    </w:p>
    <w:p w:rsidR="005E6250" w:rsidRPr="005E6250" w:rsidRDefault="005E6250" w:rsidP="00406D5D">
      <w:pPr>
        <w:spacing w:after="0" w:line="360" w:lineRule="auto"/>
        <w:jc w:val="both"/>
        <w:rPr>
          <w:rFonts w:ascii="Times New Roman" w:eastAsia="Times New Roman" w:hAnsi="Times New Roman" w:cs="Times New Roman"/>
          <w:sz w:val="24"/>
          <w:szCs w:val="24"/>
        </w:rPr>
      </w:pPr>
      <w:r w:rsidRPr="005E6250">
        <w:rPr>
          <w:rFonts w:ascii="Times New Roman" w:eastAsia="Times New Roman" w:hAnsi="Times New Roman" w:cs="Times New Roman"/>
          <w:sz w:val="24"/>
          <w:szCs w:val="24"/>
        </w:rPr>
        <w:t>Using the data provided, the IMF Global Economic Dashboard was created, which includes a variety of visualizations chosen for their efficacy in expressing certain insights.</w:t>
      </w:r>
    </w:p>
    <w:p w:rsidR="00151FA5" w:rsidRDefault="00151FA5" w:rsidP="00406D5D">
      <w:pPr>
        <w:pStyle w:val="Heading2"/>
        <w:spacing w:line="360" w:lineRule="auto"/>
        <w:jc w:val="both"/>
      </w:pPr>
      <w:r w:rsidRPr="00AF7D8A">
        <w:lastRenderedPageBreak/>
        <w:t xml:space="preserve"> </w:t>
      </w:r>
      <w:r w:rsidR="00AF7D8A">
        <w:t xml:space="preserve">3.1 </w:t>
      </w:r>
      <w:r w:rsidRPr="00AF7D8A">
        <w:t>Cards</w:t>
      </w:r>
    </w:p>
    <w:p w:rsidR="00151FA5" w:rsidRPr="005E6250" w:rsidRDefault="00151FA5" w:rsidP="00406D5D">
      <w:pPr>
        <w:spacing w:line="360" w:lineRule="auto"/>
        <w:jc w:val="both"/>
        <w:rPr>
          <w:sz w:val="24"/>
          <w:szCs w:val="24"/>
        </w:rPr>
      </w:pPr>
      <w:r w:rsidRPr="005E6250">
        <w:rPr>
          <w:sz w:val="24"/>
          <w:szCs w:val="24"/>
        </w:rPr>
        <w:t xml:space="preserve">The dashboard includes seven </w:t>
      </w:r>
      <w:r w:rsidR="00AF7D8A" w:rsidRPr="005E6250">
        <w:rPr>
          <w:sz w:val="24"/>
          <w:szCs w:val="24"/>
        </w:rPr>
        <w:t>Indicator</w:t>
      </w:r>
      <w:r w:rsidRPr="005E6250">
        <w:rPr>
          <w:sz w:val="24"/>
          <w:szCs w:val="24"/>
        </w:rPr>
        <w:t xml:space="preserve"> cards, eac</w:t>
      </w:r>
      <w:r w:rsidR="00AF7D8A" w:rsidRPr="005E6250">
        <w:rPr>
          <w:sz w:val="24"/>
          <w:szCs w:val="24"/>
        </w:rPr>
        <w:t>h displaying a critical metric:</w:t>
      </w:r>
    </w:p>
    <w:p w:rsidR="00AF7D8A" w:rsidRPr="005E6250" w:rsidRDefault="00151FA5" w:rsidP="00406D5D">
      <w:pPr>
        <w:pStyle w:val="ListParagraph"/>
        <w:numPr>
          <w:ilvl w:val="0"/>
          <w:numId w:val="10"/>
        </w:numPr>
        <w:spacing w:line="360" w:lineRule="auto"/>
        <w:jc w:val="both"/>
        <w:rPr>
          <w:sz w:val="24"/>
          <w:szCs w:val="24"/>
        </w:rPr>
      </w:pPr>
      <w:r w:rsidRPr="005E6250">
        <w:rPr>
          <w:sz w:val="24"/>
          <w:szCs w:val="24"/>
        </w:rPr>
        <w:t>Inflation: A measure of price level changes.</w:t>
      </w:r>
    </w:p>
    <w:p w:rsidR="00AF7D8A" w:rsidRPr="005E6250" w:rsidRDefault="00151FA5" w:rsidP="00406D5D">
      <w:pPr>
        <w:pStyle w:val="ListParagraph"/>
        <w:numPr>
          <w:ilvl w:val="0"/>
          <w:numId w:val="10"/>
        </w:numPr>
        <w:spacing w:line="360" w:lineRule="auto"/>
        <w:jc w:val="both"/>
        <w:rPr>
          <w:sz w:val="24"/>
          <w:szCs w:val="24"/>
        </w:rPr>
      </w:pPr>
      <w:r w:rsidRPr="005E6250">
        <w:rPr>
          <w:sz w:val="24"/>
          <w:szCs w:val="24"/>
        </w:rPr>
        <w:t>Population: Total population count of each region or country.</w:t>
      </w:r>
    </w:p>
    <w:p w:rsidR="00AF7D8A" w:rsidRPr="005E6250" w:rsidRDefault="00151FA5" w:rsidP="00406D5D">
      <w:pPr>
        <w:pStyle w:val="ListParagraph"/>
        <w:numPr>
          <w:ilvl w:val="0"/>
          <w:numId w:val="10"/>
        </w:numPr>
        <w:spacing w:line="360" w:lineRule="auto"/>
        <w:jc w:val="both"/>
        <w:rPr>
          <w:sz w:val="24"/>
          <w:szCs w:val="24"/>
        </w:rPr>
      </w:pPr>
      <w:r w:rsidRPr="005E6250">
        <w:rPr>
          <w:sz w:val="24"/>
          <w:szCs w:val="24"/>
        </w:rPr>
        <w:t>GDP: Gross Domestic Product, representing economic output.</w:t>
      </w:r>
    </w:p>
    <w:p w:rsidR="00AF7D8A" w:rsidRPr="005E6250" w:rsidRDefault="00151FA5" w:rsidP="00406D5D">
      <w:pPr>
        <w:pStyle w:val="ListParagraph"/>
        <w:numPr>
          <w:ilvl w:val="0"/>
          <w:numId w:val="10"/>
        </w:numPr>
        <w:spacing w:line="360" w:lineRule="auto"/>
        <w:jc w:val="both"/>
        <w:rPr>
          <w:sz w:val="24"/>
          <w:szCs w:val="24"/>
        </w:rPr>
      </w:pPr>
      <w:r w:rsidRPr="005E6250">
        <w:rPr>
          <w:sz w:val="24"/>
          <w:szCs w:val="24"/>
        </w:rPr>
        <w:t>Net Debt: Total government debt minus financial assets.</w:t>
      </w:r>
    </w:p>
    <w:p w:rsidR="00AF7D8A" w:rsidRPr="005E6250" w:rsidRDefault="00151FA5" w:rsidP="00406D5D">
      <w:pPr>
        <w:pStyle w:val="ListParagraph"/>
        <w:numPr>
          <w:ilvl w:val="0"/>
          <w:numId w:val="10"/>
        </w:numPr>
        <w:spacing w:line="360" w:lineRule="auto"/>
        <w:jc w:val="both"/>
        <w:rPr>
          <w:sz w:val="24"/>
          <w:szCs w:val="24"/>
        </w:rPr>
      </w:pPr>
      <w:r w:rsidRPr="005E6250">
        <w:rPr>
          <w:sz w:val="24"/>
          <w:szCs w:val="24"/>
        </w:rPr>
        <w:t>Unemployment: The percentage of the labor force that is unemployed.</w:t>
      </w:r>
    </w:p>
    <w:p w:rsidR="00AF7D8A" w:rsidRPr="005E6250" w:rsidRDefault="00151FA5" w:rsidP="00406D5D">
      <w:pPr>
        <w:pStyle w:val="ListParagraph"/>
        <w:numPr>
          <w:ilvl w:val="0"/>
          <w:numId w:val="10"/>
        </w:numPr>
        <w:spacing w:line="360" w:lineRule="auto"/>
        <w:jc w:val="both"/>
        <w:rPr>
          <w:sz w:val="24"/>
          <w:szCs w:val="24"/>
        </w:rPr>
      </w:pPr>
      <w:r w:rsidRPr="005E6250">
        <w:rPr>
          <w:sz w:val="24"/>
          <w:szCs w:val="24"/>
        </w:rPr>
        <w:t>National Savings: Total savings as a percentage of GDP.</w:t>
      </w:r>
    </w:p>
    <w:p w:rsidR="00AF7D8A" w:rsidRPr="005E6250" w:rsidRDefault="00151FA5" w:rsidP="00406D5D">
      <w:pPr>
        <w:pStyle w:val="ListParagraph"/>
        <w:numPr>
          <w:ilvl w:val="0"/>
          <w:numId w:val="10"/>
        </w:numPr>
        <w:spacing w:line="360" w:lineRule="auto"/>
        <w:jc w:val="both"/>
        <w:rPr>
          <w:sz w:val="24"/>
          <w:szCs w:val="24"/>
        </w:rPr>
      </w:pPr>
      <w:r w:rsidRPr="005E6250">
        <w:rPr>
          <w:sz w:val="24"/>
          <w:szCs w:val="24"/>
        </w:rPr>
        <w:t>Total Investment: The total amount invested within a region or country.</w:t>
      </w:r>
    </w:p>
    <w:p w:rsidR="00151FA5" w:rsidRDefault="00AF7D8A" w:rsidP="00406D5D">
      <w:pPr>
        <w:spacing w:line="360" w:lineRule="auto"/>
        <w:jc w:val="both"/>
      </w:pPr>
      <w:r>
        <w:rPr>
          <w:noProof/>
        </w:rPr>
        <w:drawing>
          <wp:inline distT="0" distB="0" distL="0" distR="0" wp14:anchorId="0DF8146F" wp14:editId="01348F17">
            <wp:extent cx="850976" cy="3495675"/>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9615" t="30217" r="83174" b="12770"/>
                    <a:stretch/>
                  </pic:blipFill>
                  <pic:spPr bwMode="auto">
                    <a:xfrm>
                      <a:off x="0" y="0"/>
                      <a:ext cx="852795" cy="3503148"/>
                    </a:xfrm>
                    <a:prstGeom prst="rect">
                      <a:avLst/>
                    </a:prstGeom>
                    <a:ln>
                      <a:noFill/>
                    </a:ln>
                    <a:extLst>
                      <a:ext uri="{53640926-AAD7-44D8-BBD7-CCE9431645EC}">
                        <a14:shadowObscured xmlns:a14="http://schemas.microsoft.com/office/drawing/2010/main"/>
                      </a:ext>
                    </a:extLst>
                  </pic:spPr>
                </pic:pic>
              </a:graphicData>
            </a:graphic>
          </wp:inline>
        </w:drawing>
      </w:r>
    </w:p>
    <w:p w:rsidR="005E6250" w:rsidRPr="005E6250" w:rsidRDefault="005E6250" w:rsidP="00406D5D">
      <w:pPr>
        <w:spacing w:after="0" w:line="360" w:lineRule="auto"/>
        <w:jc w:val="both"/>
        <w:rPr>
          <w:rFonts w:ascii="Times New Roman" w:eastAsia="Times New Roman" w:hAnsi="Times New Roman" w:cs="Times New Roman"/>
          <w:sz w:val="24"/>
          <w:szCs w:val="24"/>
        </w:rPr>
      </w:pPr>
      <w:r w:rsidRPr="005E6250">
        <w:rPr>
          <w:rFonts w:ascii="Times New Roman" w:eastAsia="Times New Roman" w:hAnsi="Times New Roman" w:cs="Times New Roman"/>
          <w:sz w:val="24"/>
          <w:szCs w:val="24"/>
        </w:rPr>
        <w:t>These cards provide a high-level overview, allowing individuals to swiftly analyze the current economic condition. Each card constantly updates based on the filters chosen, providing a quick picture of crucial indicators.</w:t>
      </w:r>
    </w:p>
    <w:p w:rsidR="00B33962" w:rsidRPr="00B33962" w:rsidRDefault="00151FA5" w:rsidP="00406D5D">
      <w:pPr>
        <w:pStyle w:val="Heading2"/>
        <w:spacing w:after="240" w:line="360" w:lineRule="auto"/>
        <w:jc w:val="both"/>
      </w:pPr>
      <w:r w:rsidRPr="00951468">
        <w:rPr>
          <w:rStyle w:val="Heading2Char"/>
        </w:rPr>
        <w:t xml:space="preserve"> 3.2 Line Chart:</w:t>
      </w:r>
      <w:r>
        <w:t xml:space="preserve"> Percentage Change in Inflation, GDP, and Unemployment Rate by Year</w:t>
      </w:r>
    </w:p>
    <w:p w:rsidR="00893977" w:rsidRDefault="00AB7B48" w:rsidP="00406D5D">
      <w:pPr>
        <w:spacing w:after="240" w:line="360" w:lineRule="auto"/>
        <w:jc w:val="both"/>
        <w:rPr>
          <w:rFonts w:ascii="Times New Roman" w:eastAsia="Times New Roman" w:hAnsi="Times New Roman" w:cs="Times New Roman"/>
          <w:sz w:val="24"/>
          <w:szCs w:val="24"/>
        </w:rPr>
      </w:pPr>
      <w:r w:rsidRPr="00AB7B48">
        <w:rPr>
          <w:rFonts w:ascii="Times New Roman" w:eastAsia="Times New Roman" w:hAnsi="Times New Roman" w:cs="Times New Roman"/>
          <w:sz w:val="24"/>
          <w:szCs w:val="24"/>
        </w:rPr>
        <w:t xml:space="preserve">The line chart plots inflation, GDP, and unemployment rates across time, making it simpler to identify long-term changes and swings. Data can be filtered by area, income category, year, </w:t>
      </w:r>
      <w:r w:rsidRPr="00AB7B48">
        <w:rPr>
          <w:rFonts w:ascii="Times New Roman" w:eastAsia="Times New Roman" w:hAnsi="Times New Roman" w:cs="Times New Roman"/>
          <w:sz w:val="24"/>
          <w:szCs w:val="24"/>
        </w:rPr>
        <w:lastRenderedPageBreak/>
        <w:t xml:space="preserve">economy, and nation to investigate specific patterns. </w:t>
      </w:r>
      <w:r w:rsidRPr="00AB7B48">
        <w:rPr>
          <w:rFonts w:ascii="Times New Roman" w:eastAsia="Times New Roman" w:hAnsi="Times New Roman" w:cs="Times New Roman"/>
          <w:sz w:val="24"/>
          <w:szCs w:val="24"/>
        </w:rPr>
        <w:br/>
        <w:t xml:space="preserve">The goal of this graphic is to examine the behavior of inflation, GDP, and unemployment rates over time, as well as to identify periods of economic expansion or contraction. </w:t>
      </w:r>
      <w:r w:rsidRPr="00AB7B48">
        <w:rPr>
          <w:rFonts w:ascii="Times New Roman" w:eastAsia="Times New Roman" w:hAnsi="Times New Roman" w:cs="Times New Roman"/>
          <w:sz w:val="24"/>
          <w:szCs w:val="24"/>
        </w:rPr>
        <w:br/>
      </w:r>
    </w:p>
    <w:p w:rsidR="00AB7B48" w:rsidRPr="00893977" w:rsidRDefault="00AB7B48" w:rsidP="00893977">
      <w:pPr>
        <w:pStyle w:val="ListParagraph"/>
        <w:numPr>
          <w:ilvl w:val="0"/>
          <w:numId w:val="15"/>
        </w:numPr>
        <w:spacing w:after="240" w:line="360" w:lineRule="auto"/>
        <w:jc w:val="both"/>
        <w:rPr>
          <w:rFonts w:ascii="Times New Roman" w:eastAsia="Times New Roman" w:hAnsi="Times New Roman" w:cs="Times New Roman"/>
          <w:sz w:val="24"/>
          <w:szCs w:val="24"/>
        </w:rPr>
      </w:pPr>
      <w:r w:rsidRPr="00893977">
        <w:rPr>
          <w:rFonts w:ascii="Times New Roman" w:eastAsia="Times New Roman" w:hAnsi="Times New Roman" w:cs="Times New Roman"/>
          <w:sz w:val="24"/>
          <w:szCs w:val="24"/>
        </w:rPr>
        <w:t xml:space="preserve">Functionality: By studying the direction and amplitude of the lines, users can deduce economic cycles, such as periods of recession or growth, and examine how different regions are affected. </w:t>
      </w:r>
    </w:p>
    <w:p w:rsidR="00E76D4E" w:rsidRDefault="00E76D4E" w:rsidP="00406D5D">
      <w:pPr>
        <w:spacing w:line="360" w:lineRule="auto"/>
        <w:jc w:val="both"/>
        <w:rPr>
          <w:noProof/>
        </w:rPr>
      </w:pPr>
    </w:p>
    <w:p w:rsidR="00151FA5" w:rsidRDefault="007560DE" w:rsidP="00406D5D">
      <w:pPr>
        <w:spacing w:line="360" w:lineRule="auto"/>
        <w:jc w:val="both"/>
      </w:pPr>
      <w:r>
        <w:rPr>
          <w:noProof/>
        </w:rPr>
        <w:drawing>
          <wp:inline distT="0" distB="0" distL="0" distR="0" wp14:anchorId="641FC91D" wp14:editId="32734829">
            <wp:extent cx="5934075" cy="3253017"/>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6186" t="29932" r="57211" b="44128"/>
                    <a:stretch/>
                  </pic:blipFill>
                  <pic:spPr bwMode="auto">
                    <a:xfrm>
                      <a:off x="0" y="0"/>
                      <a:ext cx="5963509" cy="3269153"/>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F869A6" w:rsidRDefault="00F869A6" w:rsidP="00406D5D">
      <w:pPr>
        <w:spacing w:line="360" w:lineRule="auto"/>
        <w:jc w:val="both"/>
      </w:pPr>
    </w:p>
    <w:p w:rsidR="00151FA5" w:rsidRDefault="00151FA5" w:rsidP="00406D5D">
      <w:pPr>
        <w:pStyle w:val="Heading2"/>
        <w:spacing w:line="360" w:lineRule="auto"/>
        <w:jc w:val="both"/>
      </w:pPr>
      <w:r>
        <w:t>3.3 Bar Chart: GDP per Capita, Government Revenue, Net Debt, and Total Expenditure by Region</w:t>
      </w:r>
    </w:p>
    <w:p w:rsidR="00893977" w:rsidRDefault="00AB7B48" w:rsidP="00893977">
      <w:pPr>
        <w:spacing w:after="0" w:line="360" w:lineRule="auto"/>
        <w:jc w:val="both"/>
        <w:rPr>
          <w:rFonts w:ascii="Times New Roman" w:eastAsia="Times New Roman" w:hAnsi="Times New Roman" w:cs="Times New Roman"/>
          <w:sz w:val="24"/>
          <w:szCs w:val="24"/>
        </w:rPr>
      </w:pPr>
      <w:r w:rsidRPr="00AB7B48">
        <w:rPr>
          <w:rFonts w:ascii="Times New Roman" w:eastAsia="Times New Roman" w:hAnsi="Times New Roman" w:cs="Times New Roman"/>
          <w:sz w:val="24"/>
          <w:szCs w:val="24"/>
        </w:rPr>
        <w:t xml:space="preserve">This bar chart compares GDP per capita, government revenue, net debt, and total expenditures among regions. </w:t>
      </w:r>
    </w:p>
    <w:p w:rsidR="00AB7B48" w:rsidRPr="00AB7B48" w:rsidRDefault="00AB7B48" w:rsidP="00893977">
      <w:pPr>
        <w:spacing w:after="0" w:line="360" w:lineRule="auto"/>
        <w:rPr>
          <w:rFonts w:ascii="Times New Roman" w:eastAsia="Times New Roman" w:hAnsi="Times New Roman" w:cs="Times New Roman"/>
          <w:sz w:val="24"/>
          <w:szCs w:val="24"/>
        </w:rPr>
      </w:pPr>
      <w:r w:rsidRPr="00AB7B48">
        <w:rPr>
          <w:rFonts w:ascii="Times New Roman" w:eastAsia="Times New Roman" w:hAnsi="Times New Roman" w:cs="Times New Roman"/>
          <w:sz w:val="24"/>
          <w:szCs w:val="24"/>
        </w:rPr>
        <w:t>This visualization highlights economic discrepancies and sheds light on</w:t>
      </w:r>
      <w:r w:rsidR="00893977">
        <w:rPr>
          <w:rFonts w:ascii="Times New Roman" w:eastAsia="Times New Roman" w:hAnsi="Times New Roman" w:cs="Times New Roman"/>
          <w:sz w:val="24"/>
          <w:szCs w:val="24"/>
        </w:rPr>
        <w:t xml:space="preserve"> fiscal policy across regions. </w:t>
      </w:r>
      <w:r w:rsidRPr="00AB7B48">
        <w:rPr>
          <w:rFonts w:ascii="Times New Roman" w:eastAsia="Times New Roman" w:hAnsi="Times New Roman" w:cs="Times New Roman"/>
          <w:sz w:val="24"/>
          <w:szCs w:val="24"/>
        </w:rPr>
        <w:br/>
      </w:r>
      <w:r w:rsidRPr="00AB7B48">
        <w:rPr>
          <w:rFonts w:ascii="Times New Roman" w:eastAsia="Times New Roman" w:hAnsi="Times New Roman" w:cs="Times New Roman"/>
          <w:b/>
          <w:sz w:val="24"/>
          <w:szCs w:val="24"/>
        </w:rPr>
        <w:t>Purpose</w:t>
      </w:r>
      <w:r w:rsidRPr="00AB7B48">
        <w:rPr>
          <w:rFonts w:ascii="Times New Roman" w:eastAsia="Times New Roman" w:hAnsi="Times New Roman" w:cs="Times New Roman"/>
          <w:sz w:val="24"/>
          <w:szCs w:val="24"/>
        </w:rPr>
        <w:t xml:space="preserve">: To discover regional disparities in economic output and fiscal health. </w:t>
      </w:r>
      <w:r w:rsidRPr="00AB7B48">
        <w:rPr>
          <w:rFonts w:ascii="Times New Roman" w:eastAsia="Times New Roman" w:hAnsi="Times New Roman" w:cs="Times New Roman"/>
          <w:sz w:val="24"/>
          <w:szCs w:val="24"/>
        </w:rPr>
        <w:br/>
      </w:r>
      <w:r w:rsidRPr="00AB7B48">
        <w:rPr>
          <w:rFonts w:ascii="Times New Roman" w:eastAsia="Times New Roman" w:hAnsi="Times New Roman" w:cs="Times New Roman"/>
          <w:b/>
          <w:sz w:val="24"/>
          <w:szCs w:val="24"/>
        </w:rPr>
        <w:t>Functionality</w:t>
      </w:r>
      <w:r w:rsidRPr="00AB7B48">
        <w:rPr>
          <w:rFonts w:ascii="Times New Roman" w:eastAsia="Times New Roman" w:hAnsi="Times New Roman" w:cs="Times New Roman"/>
          <w:sz w:val="24"/>
          <w:szCs w:val="24"/>
        </w:rPr>
        <w:t xml:space="preserve">: The chart helps policymakers determine which regions are experiencing fiscal </w:t>
      </w:r>
      <w:r w:rsidRPr="00AB7B48">
        <w:rPr>
          <w:rFonts w:ascii="Times New Roman" w:eastAsia="Times New Roman" w:hAnsi="Times New Roman" w:cs="Times New Roman"/>
          <w:sz w:val="24"/>
          <w:szCs w:val="24"/>
        </w:rPr>
        <w:lastRenderedPageBreak/>
        <w:t>stress and may require measures. The data can be filtered by year and inc</w:t>
      </w:r>
      <w:r w:rsidR="00893977">
        <w:rPr>
          <w:rFonts w:ascii="Times New Roman" w:eastAsia="Times New Roman" w:hAnsi="Times New Roman" w:cs="Times New Roman"/>
          <w:sz w:val="24"/>
          <w:szCs w:val="24"/>
        </w:rPr>
        <w:t xml:space="preserve">ome category to isolate certain </w:t>
      </w:r>
      <w:r w:rsidRPr="00AB7B48">
        <w:rPr>
          <w:rFonts w:ascii="Times New Roman" w:eastAsia="Times New Roman" w:hAnsi="Times New Roman" w:cs="Times New Roman"/>
          <w:sz w:val="24"/>
          <w:szCs w:val="24"/>
        </w:rPr>
        <w:t xml:space="preserve">subsets. </w:t>
      </w:r>
      <w:r w:rsidRPr="00AB7B48">
        <w:rPr>
          <w:rFonts w:ascii="Times New Roman" w:eastAsia="Times New Roman" w:hAnsi="Times New Roman" w:cs="Times New Roman"/>
          <w:sz w:val="24"/>
          <w:szCs w:val="24"/>
        </w:rPr>
        <w:br/>
        <w:t xml:space="preserve">There is a slider to make the plot interactive, allowing users to view the study of various regions in terms of GDP per capita, government revenue, net debt, and total expenditure. </w:t>
      </w:r>
    </w:p>
    <w:p w:rsidR="00F5544F" w:rsidRDefault="00E76D4E" w:rsidP="00406D5D">
      <w:pPr>
        <w:spacing w:line="360" w:lineRule="auto"/>
        <w:jc w:val="both"/>
      </w:pPr>
      <w:r>
        <w:rPr>
          <w:noProof/>
        </w:rPr>
        <w:drawing>
          <wp:inline distT="0" distB="0" distL="0" distR="0" wp14:anchorId="1F3B1934" wp14:editId="3942AD24">
            <wp:extent cx="5619750" cy="370242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6666" t="54732" r="56090" b="13341"/>
                    <a:stretch/>
                  </pic:blipFill>
                  <pic:spPr bwMode="auto">
                    <a:xfrm>
                      <a:off x="0" y="0"/>
                      <a:ext cx="5637020" cy="3713801"/>
                    </a:xfrm>
                    <a:prstGeom prst="rect">
                      <a:avLst/>
                    </a:prstGeom>
                    <a:ln>
                      <a:noFill/>
                    </a:ln>
                    <a:extLst>
                      <a:ext uri="{53640926-AAD7-44D8-BBD7-CCE9431645EC}">
                        <a14:shadowObscured xmlns:a14="http://schemas.microsoft.com/office/drawing/2010/main"/>
                      </a:ext>
                    </a:extLst>
                  </pic:spPr>
                </pic:pic>
              </a:graphicData>
            </a:graphic>
          </wp:inline>
        </w:drawing>
      </w:r>
    </w:p>
    <w:p w:rsidR="00151FA5" w:rsidRDefault="00151FA5" w:rsidP="00406D5D">
      <w:pPr>
        <w:pStyle w:val="Heading2"/>
        <w:spacing w:after="240" w:line="360" w:lineRule="auto"/>
        <w:jc w:val="both"/>
      </w:pPr>
      <w:r>
        <w:t xml:space="preserve"> 3.4 Pie Chart: Deflator Index and Sum of GDP Constant Prices, Percent Change by Region</w:t>
      </w:r>
    </w:p>
    <w:p w:rsidR="000A7F59" w:rsidRPr="000A7F59" w:rsidRDefault="000A7F59" w:rsidP="00406D5D">
      <w:pPr>
        <w:spacing w:after="240" w:line="360" w:lineRule="auto"/>
        <w:jc w:val="both"/>
        <w:rPr>
          <w:rFonts w:ascii="Times New Roman" w:eastAsia="Times New Roman" w:hAnsi="Times New Roman" w:cs="Times New Roman"/>
          <w:sz w:val="24"/>
          <w:szCs w:val="24"/>
        </w:rPr>
      </w:pPr>
      <w:r w:rsidRPr="000A7F59">
        <w:rPr>
          <w:rFonts w:ascii="Times New Roman" w:eastAsia="Times New Roman" w:hAnsi="Times New Roman" w:cs="Times New Roman"/>
          <w:sz w:val="24"/>
          <w:szCs w:val="24"/>
        </w:rPr>
        <w:t xml:space="preserve">The pie chart shows how GDP deflator changes affect GDP numbers across regions. </w:t>
      </w:r>
      <w:r w:rsidRPr="000A7F59">
        <w:rPr>
          <w:rFonts w:ascii="Times New Roman" w:eastAsia="Times New Roman" w:hAnsi="Times New Roman" w:cs="Times New Roman"/>
          <w:sz w:val="24"/>
          <w:szCs w:val="24"/>
        </w:rPr>
        <w:br/>
        <w:t xml:space="preserve">The goal is to show how inflationary pressures affect GDP in different locations. </w:t>
      </w:r>
      <w:r w:rsidRPr="000A7F59">
        <w:rPr>
          <w:rFonts w:ascii="Times New Roman" w:eastAsia="Times New Roman" w:hAnsi="Times New Roman" w:cs="Times New Roman"/>
          <w:sz w:val="24"/>
          <w:szCs w:val="24"/>
        </w:rPr>
        <w:br/>
        <w:t xml:space="preserve">Hovering over each segment reveals the percentage change, providing insight into how inflation impacts different parts of the world. </w:t>
      </w:r>
    </w:p>
    <w:p w:rsidR="00151FA5" w:rsidRDefault="00EA2EED" w:rsidP="00406D5D">
      <w:pPr>
        <w:spacing w:line="360" w:lineRule="auto"/>
        <w:jc w:val="both"/>
      </w:pPr>
      <w:r>
        <w:rPr>
          <w:noProof/>
        </w:rPr>
        <w:lastRenderedPageBreak/>
        <w:drawing>
          <wp:inline distT="0" distB="0" distL="0" distR="0" wp14:anchorId="5B376772" wp14:editId="7788583A">
            <wp:extent cx="5619750" cy="2033814"/>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42307" t="30216" r="24039" b="48119"/>
                    <a:stretch/>
                  </pic:blipFill>
                  <pic:spPr bwMode="auto">
                    <a:xfrm>
                      <a:off x="0" y="0"/>
                      <a:ext cx="5654451" cy="2046372"/>
                    </a:xfrm>
                    <a:prstGeom prst="rect">
                      <a:avLst/>
                    </a:prstGeom>
                    <a:ln>
                      <a:noFill/>
                    </a:ln>
                    <a:extLst>
                      <a:ext uri="{53640926-AAD7-44D8-BBD7-CCE9431645EC}">
                        <a14:shadowObscured xmlns:a14="http://schemas.microsoft.com/office/drawing/2010/main"/>
                      </a:ext>
                    </a:extLst>
                  </pic:spPr>
                </pic:pic>
              </a:graphicData>
            </a:graphic>
          </wp:inline>
        </w:drawing>
      </w:r>
    </w:p>
    <w:p w:rsidR="0096794A" w:rsidRPr="0096794A" w:rsidRDefault="00151FA5" w:rsidP="00406D5D">
      <w:pPr>
        <w:pStyle w:val="Heading2"/>
        <w:spacing w:after="240" w:line="360" w:lineRule="auto"/>
        <w:jc w:val="both"/>
      </w:pPr>
      <w:r>
        <w:t xml:space="preserve"> 3.5 Key Influencers Visual: Determinants of GDP</w:t>
      </w:r>
    </w:p>
    <w:p w:rsidR="00B61DE1" w:rsidRDefault="000A7F59" w:rsidP="00B61DE1">
      <w:pPr>
        <w:spacing w:after="0" w:line="360" w:lineRule="auto"/>
        <w:jc w:val="both"/>
        <w:rPr>
          <w:rFonts w:ascii="Times New Roman" w:eastAsia="Times New Roman" w:hAnsi="Times New Roman" w:cs="Times New Roman"/>
          <w:sz w:val="24"/>
          <w:szCs w:val="24"/>
        </w:rPr>
      </w:pPr>
      <w:r w:rsidRPr="000A7F59">
        <w:rPr>
          <w:rFonts w:ascii="Times New Roman" w:eastAsia="Times New Roman" w:hAnsi="Times New Roman" w:cs="Times New Roman"/>
          <w:sz w:val="24"/>
          <w:szCs w:val="24"/>
        </w:rPr>
        <w:t>The Power BI Key Influencers visualization was used to discover factors with a strong impact on GDP. This graph explains which variables have the most impact on econo</w:t>
      </w:r>
      <w:r w:rsidR="00B61DE1">
        <w:rPr>
          <w:rFonts w:ascii="Times New Roman" w:eastAsia="Times New Roman" w:hAnsi="Times New Roman" w:cs="Times New Roman"/>
          <w:sz w:val="24"/>
          <w:szCs w:val="24"/>
        </w:rPr>
        <w:t xml:space="preserve">mic growth. </w:t>
      </w:r>
    </w:p>
    <w:p w:rsidR="00B61DE1" w:rsidRDefault="000A7F59" w:rsidP="00B61DE1">
      <w:pPr>
        <w:pStyle w:val="ListParagraph"/>
        <w:numPr>
          <w:ilvl w:val="0"/>
          <w:numId w:val="15"/>
        </w:numPr>
        <w:spacing w:after="0" w:line="360" w:lineRule="auto"/>
        <w:jc w:val="both"/>
        <w:rPr>
          <w:rFonts w:ascii="Times New Roman" w:eastAsia="Times New Roman" w:hAnsi="Times New Roman" w:cs="Times New Roman"/>
          <w:sz w:val="24"/>
          <w:szCs w:val="24"/>
        </w:rPr>
      </w:pPr>
      <w:r w:rsidRPr="00B61DE1">
        <w:rPr>
          <w:rFonts w:ascii="Times New Roman" w:eastAsia="Times New Roman" w:hAnsi="Times New Roman" w:cs="Times New Roman"/>
          <w:b/>
          <w:sz w:val="24"/>
          <w:szCs w:val="24"/>
        </w:rPr>
        <w:t>Purpose</w:t>
      </w:r>
      <w:r w:rsidRPr="00B61DE1">
        <w:rPr>
          <w:rFonts w:ascii="Times New Roman" w:eastAsia="Times New Roman" w:hAnsi="Times New Roman" w:cs="Times New Roman"/>
          <w:sz w:val="24"/>
          <w:szCs w:val="24"/>
        </w:rPr>
        <w:t>: To illustrate signifi</w:t>
      </w:r>
      <w:r w:rsidR="00B61DE1">
        <w:rPr>
          <w:rFonts w:ascii="Times New Roman" w:eastAsia="Times New Roman" w:hAnsi="Times New Roman" w:cs="Times New Roman"/>
          <w:sz w:val="24"/>
          <w:szCs w:val="24"/>
        </w:rPr>
        <w:t xml:space="preserve">cant elements influencing GDP. </w:t>
      </w:r>
    </w:p>
    <w:p w:rsidR="000A7F59" w:rsidRPr="00B61DE1" w:rsidRDefault="000A7F59" w:rsidP="00B61DE1">
      <w:pPr>
        <w:pStyle w:val="ListParagraph"/>
        <w:numPr>
          <w:ilvl w:val="0"/>
          <w:numId w:val="15"/>
        </w:numPr>
        <w:spacing w:line="360" w:lineRule="auto"/>
        <w:jc w:val="both"/>
        <w:rPr>
          <w:rFonts w:ascii="Times New Roman" w:eastAsia="Times New Roman" w:hAnsi="Times New Roman" w:cs="Times New Roman"/>
          <w:sz w:val="24"/>
          <w:szCs w:val="24"/>
        </w:rPr>
      </w:pPr>
      <w:r w:rsidRPr="00B61DE1">
        <w:rPr>
          <w:rFonts w:ascii="Times New Roman" w:eastAsia="Times New Roman" w:hAnsi="Times New Roman" w:cs="Times New Roman"/>
          <w:b/>
          <w:sz w:val="24"/>
          <w:szCs w:val="24"/>
        </w:rPr>
        <w:t>Functionality</w:t>
      </w:r>
      <w:r w:rsidRPr="00B61DE1">
        <w:rPr>
          <w:rFonts w:ascii="Times New Roman" w:eastAsia="Times New Roman" w:hAnsi="Times New Roman" w:cs="Times New Roman"/>
          <w:sz w:val="24"/>
          <w:szCs w:val="24"/>
        </w:rPr>
        <w:t xml:space="preserve">: Users can interact with the graphic by selecting different factors, such as government debt or national savings, and observing their impact on GDP. This can help policymakers prioritize economic strategies. </w:t>
      </w:r>
    </w:p>
    <w:p w:rsidR="00151FA5" w:rsidRDefault="00F5544F" w:rsidP="00406D5D">
      <w:pPr>
        <w:spacing w:line="360" w:lineRule="auto"/>
        <w:jc w:val="both"/>
      </w:pPr>
      <w:r>
        <w:rPr>
          <w:noProof/>
        </w:rPr>
        <w:drawing>
          <wp:inline distT="0" distB="0" distL="0" distR="0" wp14:anchorId="53B804E4" wp14:editId="55A070E0">
            <wp:extent cx="5526342" cy="3359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42468" t="51881" r="24840" b="12771"/>
                    <a:stretch/>
                  </pic:blipFill>
                  <pic:spPr bwMode="auto">
                    <a:xfrm>
                      <a:off x="0" y="0"/>
                      <a:ext cx="5536927" cy="3365584"/>
                    </a:xfrm>
                    <a:prstGeom prst="rect">
                      <a:avLst/>
                    </a:prstGeom>
                    <a:ln>
                      <a:noFill/>
                    </a:ln>
                    <a:extLst>
                      <a:ext uri="{53640926-AAD7-44D8-BBD7-CCE9431645EC}">
                        <a14:shadowObscured xmlns:a14="http://schemas.microsoft.com/office/drawing/2010/main"/>
                      </a:ext>
                    </a:extLst>
                  </pic:spPr>
                </pic:pic>
              </a:graphicData>
            </a:graphic>
          </wp:inline>
        </w:drawing>
      </w:r>
    </w:p>
    <w:p w:rsidR="00151FA5" w:rsidRDefault="008E378F" w:rsidP="00406D5D">
      <w:pPr>
        <w:pStyle w:val="Heading2"/>
        <w:spacing w:before="0" w:after="240" w:line="360" w:lineRule="auto"/>
        <w:jc w:val="both"/>
      </w:pPr>
      <w:r>
        <w:rPr>
          <w:rStyle w:val="Strong"/>
          <w:b w:val="0"/>
          <w:bCs w:val="0"/>
        </w:rPr>
        <w:lastRenderedPageBreak/>
        <w:t>3.6</w:t>
      </w:r>
      <w:r>
        <w:rPr>
          <w:rStyle w:val="Strong"/>
          <w:b w:val="0"/>
          <w:bCs w:val="0"/>
        </w:rPr>
        <w:t xml:space="preserve"> Slicers and Filters for Customized Analysis</w:t>
      </w:r>
    </w:p>
    <w:p w:rsidR="00B61DE1" w:rsidRDefault="000A7F59" w:rsidP="00406D5D">
      <w:pPr>
        <w:spacing w:after="0" w:line="360" w:lineRule="auto"/>
        <w:jc w:val="both"/>
        <w:rPr>
          <w:rFonts w:ascii="Times New Roman" w:eastAsia="Times New Roman" w:hAnsi="Times New Roman" w:cs="Times New Roman"/>
          <w:sz w:val="24"/>
          <w:szCs w:val="24"/>
        </w:rPr>
      </w:pPr>
      <w:r w:rsidRPr="000A7F59">
        <w:rPr>
          <w:rFonts w:ascii="Times New Roman" w:eastAsia="Times New Roman" w:hAnsi="Times New Roman" w:cs="Times New Roman"/>
          <w:sz w:val="24"/>
          <w:szCs w:val="24"/>
        </w:rPr>
        <w:t>Slicers for Year, Country, Region, Economy, and Income Group were added to the dashboard to allow it to be tailored to specific user needs. Slicers enable users to interactively filter data, fine-tuning their understanding of the information provided on each visual</w:t>
      </w:r>
      <w:r w:rsidR="00B61DE1">
        <w:rPr>
          <w:rFonts w:ascii="Times New Roman" w:eastAsia="Times New Roman" w:hAnsi="Times New Roman" w:cs="Times New Roman"/>
          <w:sz w:val="24"/>
          <w:szCs w:val="24"/>
        </w:rPr>
        <w:t xml:space="preserve">. </w:t>
      </w:r>
    </w:p>
    <w:p w:rsidR="00B61DE1" w:rsidRDefault="000A7F59" w:rsidP="00B61DE1">
      <w:pPr>
        <w:pStyle w:val="ListParagraph"/>
        <w:numPr>
          <w:ilvl w:val="0"/>
          <w:numId w:val="16"/>
        </w:numPr>
        <w:spacing w:after="0" w:line="360" w:lineRule="auto"/>
        <w:jc w:val="both"/>
        <w:rPr>
          <w:rFonts w:ascii="Times New Roman" w:eastAsia="Times New Roman" w:hAnsi="Times New Roman" w:cs="Times New Roman"/>
          <w:sz w:val="24"/>
          <w:szCs w:val="24"/>
        </w:rPr>
      </w:pPr>
      <w:r w:rsidRPr="00B61DE1">
        <w:rPr>
          <w:rFonts w:ascii="Times New Roman" w:eastAsia="Times New Roman" w:hAnsi="Times New Roman" w:cs="Times New Roman"/>
          <w:sz w:val="24"/>
          <w:szCs w:val="24"/>
        </w:rPr>
        <w:t>Year Slicer: Select one or more years. Users can examine economic trends across time or drill down to a specific year to better under</w:t>
      </w:r>
      <w:r w:rsidR="00B61DE1">
        <w:rPr>
          <w:rFonts w:ascii="Times New Roman" w:eastAsia="Times New Roman" w:hAnsi="Times New Roman" w:cs="Times New Roman"/>
          <w:sz w:val="24"/>
          <w:szCs w:val="24"/>
        </w:rPr>
        <w:t xml:space="preserve">stand the economic picture. </w:t>
      </w:r>
    </w:p>
    <w:p w:rsidR="00B61DE1" w:rsidRDefault="000A7F59" w:rsidP="00B61DE1">
      <w:pPr>
        <w:pStyle w:val="ListParagraph"/>
        <w:numPr>
          <w:ilvl w:val="0"/>
          <w:numId w:val="16"/>
        </w:numPr>
        <w:spacing w:after="0" w:line="360" w:lineRule="auto"/>
        <w:jc w:val="both"/>
        <w:rPr>
          <w:rFonts w:ascii="Times New Roman" w:eastAsia="Times New Roman" w:hAnsi="Times New Roman" w:cs="Times New Roman"/>
          <w:sz w:val="24"/>
          <w:szCs w:val="24"/>
        </w:rPr>
      </w:pPr>
      <w:r w:rsidRPr="00B61DE1">
        <w:rPr>
          <w:rFonts w:ascii="Times New Roman" w:eastAsia="Times New Roman" w:hAnsi="Times New Roman" w:cs="Times New Roman"/>
          <w:sz w:val="24"/>
          <w:szCs w:val="24"/>
        </w:rPr>
        <w:t xml:space="preserve">Country Slicer: Filters data by certain countries. This allows users to focus on economic variables for a given country, </w:t>
      </w:r>
      <w:r w:rsidR="00B61DE1">
        <w:rPr>
          <w:rFonts w:ascii="Times New Roman" w:eastAsia="Times New Roman" w:hAnsi="Times New Roman" w:cs="Times New Roman"/>
          <w:sz w:val="24"/>
          <w:szCs w:val="24"/>
        </w:rPr>
        <w:t xml:space="preserve">yielding detailed insights. </w:t>
      </w:r>
    </w:p>
    <w:p w:rsidR="00B61DE1" w:rsidRDefault="000A7F59" w:rsidP="00B61DE1">
      <w:pPr>
        <w:pStyle w:val="ListParagraph"/>
        <w:numPr>
          <w:ilvl w:val="0"/>
          <w:numId w:val="16"/>
        </w:numPr>
        <w:spacing w:after="0" w:line="360" w:lineRule="auto"/>
        <w:jc w:val="both"/>
        <w:rPr>
          <w:rFonts w:ascii="Times New Roman" w:eastAsia="Times New Roman" w:hAnsi="Times New Roman" w:cs="Times New Roman"/>
          <w:sz w:val="24"/>
          <w:szCs w:val="24"/>
        </w:rPr>
      </w:pPr>
      <w:r w:rsidRPr="00B61DE1">
        <w:rPr>
          <w:rFonts w:ascii="Times New Roman" w:eastAsia="Times New Roman" w:hAnsi="Times New Roman" w:cs="Times New Roman"/>
          <w:sz w:val="24"/>
          <w:szCs w:val="24"/>
        </w:rPr>
        <w:t>Region Slicer: Filter by region, including Europe and Central Asia, East Asia and Pacific, and North America. This slicer allows for global comparisons, revealing regional economic variations.</w:t>
      </w:r>
    </w:p>
    <w:p w:rsidR="00B61DE1" w:rsidRDefault="000A7F59" w:rsidP="00B61DE1">
      <w:pPr>
        <w:pStyle w:val="ListParagraph"/>
        <w:numPr>
          <w:ilvl w:val="0"/>
          <w:numId w:val="16"/>
        </w:numPr>
        <w:spacing w:after="0" w:line="360" w:lineRule="auto"/>
        <w:jc w:val="both"/>
        <w:rPr>
          <w:rFonts w:ascii="Times New Roman" w:eastAsia="Times New Roman" w:hAnsi="Times New Roman" w:cs="Times New Roman"/>
          <w:sz w:val="24"/>
          <w:szCs w:val="24"/>
        </w:rPr>
      </w:pPr>
      <w:r w:rsidRPr="00B61DE1">
        <w:rPr>
          <w:rFonts w:ascii="Times New Roman" w:eastAsia="Times New Roman" w:hAnsi="Times New Roman" w:cs="Times New Roman"/>
          <w:sz w:val="24"/>
          <w:szCs w:val="24"/>
        </w:rPr>
        <w:t xml:space="preserve">Economic Slicer: Users can filter by income level (e.g., high or low). This filter is useful for comparing economies </w:t>
      </w:r>
      <w:r w:rsidR="00B61DE1">
        <w:rPr>
          <w:rFonts w:ascii="Times New Roman" w:eastAsia="Times New Roman" w:hAnsi="Times New Roman" w:cs="Times New Roman"/>
          <w:sz w:val="24"/>
          <w:szCs w:val="24"/>
        </w:rPr>
        <w:t xml:space="preserve">in similar economic groups. </w:t>
      </w:r>
    </w:p>
    <w:p w:rsidR="00B61DE1" w:rsidRDefault="000A7F59" w:rsidP="00B61DE1">
      <w:pPr>
        <w:pStyle w:val="ListParagraph"/>
        <w:numPr>
          <w:ilvl w:val="0"/>
          <w:numId w:val="16"/>
        </w:numPr>
        <w:spacing w:after="0" w:line="360" w:lineRule="auto"/>
        <w:jc w:val="both"/>
        <w:rPr>
          <w:rFonts w:ascii="Times New Roman" w:eastAsia="Times New Roman" w:hAnsi="Times New Roman" w:cs="Times New Roman"/>
          <w:sz w:val="24"/>
          <w:szCs w:val="24"/>
        </w:rPr>
      </w:pPr>
      <w:r w:rsidRPr="00B61DE1">
        <w:rPr>
          <w:rFonts w:ascii="Times New Roman" w:eastAsia="Times New Roman" w:hAnsi="Times New Roman" w:cs="Times New Roman"/>
          <w:sz w:val="24"/>
          <w:szCs w:val="24"/>
        </w:rPr>
        <w:t xml:space="preserve">Income Group Slicer: Filter data by income group (e.g., low-, middle-, or high-income) to compare economic variables across income levels. </w:t>
      </w:r>
    </w:p>
    <w:p w:rsidR="00B61DE1" w:rsidRDefault="000A7F59" w:rsidP="00B61DE1">
      <w:pPr>
        <w:pStyle w:val="ListParagraph"/>
        <w:numPr>
          <w:ilvl w:val="0"/>
          <w:numId w:val="18"/>
        </w:numPr>
        <w:spacing w:after="0" w:line="360" w:lineRule="auto"/>
        <w:jc w:val="both"/>
        <w:rPr>
          <w:rFonts w:ascii="Times New Roman" w:eastAsia="Times New Roman" w:hAnsi="Times New Roman" w:cs="Times New Roman"/>
          <w:sz w:val="24"/>
          <w:szCs w:val="24"/>
        </w:rPr>
      </w:pPr>
      <w:r w:rsidRPr="00B61DE1">
        <w:rPr>
          <w:rFonts w:ascii="Times New Roman" w:eastAsia="Times New Roman" w:hAnsi="Times New Roman" w:cs="Times New Roman"/>
          <w:sz w:val="24"/>
          <w:szCs w:val="24"/>
        </w:rPr>
        <w:t xml:space="preserve">Slicers enable people to easily evaluate data based on their interests. By dynamically modifying the visuals, these filters </w:t>
      </w:r>
      <w:r w:rsidR="00B61DE1">
        <w:rPr>
          <w:rFonts w:ascii="Times New Roman" w:eastAsia="Times New Roman" w:hAnsi="Times New Roman" w:cs="Times New Roman"/>
          <w:sz w:val="24"/>
          <w:szCs w:val="24"/>
        </w:rPr>
        <w:t xml:space="preserve">enable targeted investigation. </w:t>
      </w:r>
    </w:p>
    <w:p w:rsidR="000A7F59" w:rsidRPr="00B61DE1" w:rsidRDefault="000A7F59" w:rsidP="00B61DE1">
      <w:pPr>
        <w:pStyle w:val="ListParagraph"/>
        <w:numPr>
          <w:ilvl w:val="0"/>
          <w:numId w:val="18"/>
        </w:numPr>
        <w:spacing w:after="0" w:line="360" w:lineRule="auto"/>
        <w:jc w:val="both"/>
        <w:rPr>
          <w:rFonts w:ascii="Times New Roman" w:eastAsia="Times New Roman" w:hAnsi="Times New Roman" w:cs="Times New Roman"/>
          <w:sz w:val="24"/>
          <w:szCs w:val="24"/>
        </w:rPr>
      </w:pPr>
      <w:r w:rsidRPr="00B61DE1">
        <w:rPr>
          <w:rFonts w:ascii="Times New Roman" w:eastAsia="Times New Roman" w:hAnsi="Times New Roman" w:cs="Times New Roman"/>
          <w:sz w:val="24"/>
          <w:szCs w:val="24"/>
        </w:rPr>
        <w:t xml:space="preserve">Slicers increase user experience by narrowing the dataset for dashboard graphics, allowing for focused, comparative, and contextual insights. </w:t>
      </w:r>
    </w:p>
    <w:p w:rsidR="00151FA5" w:rsidRDefault="00EA2EED" w:rsidP="00406D5D">
      <w:pPr>
        <w:spacing w:line="360" w:lineRule="auto"/>
        <w:jc w:val="both"/>
      </w:pPr>
      <w:r>
        <w:rPr>
          <w:noProof/>
        </w:rPr>
        <w:drawing>
          <wp:inline distT="0" distB="0" distL="0" distR="0" wp14:anchorId="5EEE1AA7" wp14:editId="6F81666F">
            <wp:extent cx="6369050" cy="3238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8974" t="23945" r="24840" b="70069"/>
                    <a:stretch/>
                  </pic:blipFill>
                  <pic:spPr bwMode="auto">
                    <a:xfrm>
                      <a:off x="0" y="0"/>
                      <a:ext cx="6369050" cy="323850"/>
                    </a:xfrm>
                    <a:prstGeom prst="rect">
                      <a:avLst/>
                    </a:prstGeom>
                    <a:ln>
                      <a:noFill/>
                    </a:ln>
                    <a:extLst>
                      <a:ext uri="{53640926-AAD7-44D8-BBD7-CCE9431645EC}">
                        <a14:shadowObscured xmlns:a14="http://schemas.microsoft.com/office/drawing/2010/main"/>
                      </a:ext>
                    </a:extLst>
                  </pic:spPr>
                </pic:pic>
              </a:graphicData>
            </a:graphic>
          </wp:inline>
        </w:drawing>
      </w:r>
    </w:p>
    <w:p w:rsidR="00151FA5" w:rsidRPr="008E378F" w:rsidRDefault="00151FA5" w:rsidP="00406D5D">
      <w:pPr>
        <w:pStyle w:val="Heading1"/>
        <w:spacing w:line="360" w:lineRule="auto"/>
        <w:jc w:val="both"/>
        <w:rPr>
          <w:b/>
        </w:rPr>
      </w:pPr>
      <w:r w:rsidRPr="008E378F">
        <w:rPr>
          <w:b/>
        </w:rPr>
        <w:t>4. Analysis and Insights</w:t>
      </w:r>
    </w:p>
    <w:p w:rsidR="00151FA5" w:rsidRDefault="00151FA5" w:rsidP="00406D5D">
      <w:pPr>
        <w:pStyle w:val="Heading2"/>
        <w:spacing w:line="360" w:lineRule="auto"/>
        <w:jc w:val="both"/>
      </w:pPr>
      <w:r>
        <w:t>4.1 Inflation Trends</w:t>
      </w:r>
    </w:p>
    <w:p w:rsidR="000102F0" w:rsidRDefault="009052AF" w:rsidP="00406D5D">
      <w:pPr>
        <w:spacing w:after="240" w:line="360" w:lineRule="auto"/>
        <w:jc w:val="both"/>
        <w:rPr>
          <w:rFonts w:ascii="Times New Roman" w:eastAsia="Times New Roman" w:hAnsi="Times New Roman" w:cs="Times New Roman"/>
          <w:sz w:val="24"/>
          <w:szCs w:val="24"/>
        </w:rPr>
      </w:pPr>
      <w:r w:rsidRPr="009052AF">
        <w:rPr>
          <w:rFonts w:ascii="Times New Roman" w:eastAsia="Times New Roman" w:hAnsi="Times New Roman" w:cs="Times New Roman"/>
          <w:sz w:val="24"/>
          <w:szCs w:val="24"/>
        </w:rPr>
        <w:t>The inflation line graph shows notable geographical variations in inflation patterns. Because of their rapid development and supply constraints, emerging economies frequentl</w:t>
      </w:r>
      <w:r w:rsidR="000102F0">
        <w:rPr>
          <w:rFonts w:ascii="Times New Roman" w:eastAsia="Times New Roman" w:hAnsi="Times New Roman" w:cs="Times New Roman"/>
          <w:sz w:val="24"/>
          <w:szCs w:val="24"/>
        </w:rPr>
        <w:t xml:space="preserve">y have higher inflation rates. </w:t>
      </w:r>
    </w:p>
    <w:p w:rsidR="009052AF" w:rsidRPr="000102F0" w:rsidRDefault="000102F0" w:rsidP="000102F0">
      <w:pPr>
        <w:pStyle w:val="ListParagraph"/>
        <w:numPr>
          <w:ilvl w:val="0"/>
          <w:numId w:val="19"/>
        </w:numPr>
        <w:spacing w:after="240" w:line="360" w:lineRule="auto"/>
        <w:jc w:val="both"/>
        <w:rPr>
          <w:rFonts w:ascii="Times New Roman" w:eastAsia="Times New Roman" w:hAnsi="Times New Roman" w:cs="Times New Roman"/>
          <w:sz w:val="24"/>
          <w:szCs w:val="24"/>
        </w:rPr>
      </w:pPr>
      <w:r w:rsidRPr="000102F0">
        <w:rPr>
          <w:rFonts w:ascii="Times New Roman" w:eastAsia="Times New Roman" w:hAnsi="Times New Roman" w:cs="Times New Roman"/>
          <w:b/>
          <w:sz w:val="24"/>
          <w:szCs w:val="24"/>
        </w:rPr>
        <w:t>Insight</w:t>
      </w:r>
      <w:r w:rsidR="009052AF" w:rsidRPr="000102F0">
        <w:rPr>
          <w:rFonts w:ascii="Times New Roman" w:eastAsia="Times New Roman" w:hAnsi="Times New Roman" w:cs="Times New Roman"/>
          <w:sz w:val="24"/>
          <w:szCs w:val="24"/>
        </w:rPr>
        <w:t xml:space="preserve">: Stronger monetary policies are required to regulate price levels and avert economic instability when persistently high inflation persists in specific areas. </w:t>
      </w:r>
    </w:p>
    <w:p w:rsidR="009D06EB" w:rsidRDefault="009D06EB" w:rsidP="00406D5D">
      <w:pPr>
        <w:spacing w:after="0" w:line="360" w:lineRule="auto"/>
        <w:jc w:val="both"/>
      </w:pPr>
    </w:p>
    <w:p w:rsidR="00151FA5" w:rsidRDefault="00151FA5" w:rsidP="00406D5D">
      <w:pPr>
        <w:pStyle w:val="Heading2"/>
        <w:spacing w:line="360" w:lineRule="auto"/>
        <w:jc w:val="both"/>
      </w:pPr>
      <w:r>
        <w:t>4.2 Regional GDP Comparisons</w:t>
      </w:r>
    </w:p>
    <w:p w:rsidR="000102F0" w:rsidRDefault="009052AF" w:rsidP="00406D5D">
      <w:pPr>
        <w:spacing w:after="240" w:line="360" w:lineRule="auto"/>
        <w:jc w:val="both"/>
        <w:rPr>
          <w:rFonts w:ascii="Times New Roman" w:eastAsia="Times New Roman" w:hAnsi="Times New Roman" w:cs="Times New Roman"/>
          <w:sz w:val="24"/>
          <w:szCs w:val="24"/>
        </w:rPr>
      </w:pPr>
      <w:r w:rsidRPr="009052AF">
        <w:rPr>
          <w:rFonts w:ascii="Times New Roman" w:eastAsia="Times New Roman" w:hAnsi="Times New Roman" w:cs="Times New Roman"/>
          <w:sz w:val="24"/>
          <w:szCs w:val="24"/>
        </w:rPr>
        <w:t>The GDP per capita and government revenue bar chart illustrates regional differences. The GDP per capita of high-income regions is typically substantially higher</w:t>
      </w:r>
      <w:r w:rsidR="000102F0">
        <w:rPr>
          <w:rFonts w:ascii="Times New Roman" w:eastAsia="Times New Roman" w:hAnsi="Times New Roman" w:cs="Times New Roman"/>
          <w:sz w:val="24"/>
          <w:szCs w:val="24"/>
        </w:rPr>
        <w:t xml:space="preserve"> than that of low-income ones. </w:t>
      </w:r>
    </w:p>
    <w:p w:rsidR="009052AF" w:rsidRPr="000102F0" w:rsidRDefault="000102F0" w:rsidP="000102F0">
      <w:pPr>
        <w:pStyle w:val="ListParagraph"/>
        <w:numPr>
          <w:ilvl w:val="0"/>
          <w:numId w:val="19"/>
        </w:numPr>
        <w:spacing w:after="240" w:line="360" w:lineRule="auto"/>
        <w:jc w:val="both"/>
        <w:rPr>
          <w:rFonts w:ascii="Times New Roman" w:eastAsia="Times New Roman" w:hAnsi="Times New Roman" w:cs="Times New Roman"/>
          <w:sz w:val="24"/>
          <w:szCs w:val="24"/>
        </w:rPr>
      </w:pPr>
      <w:r w:rsidRPr="000102F0">
        <w:rPr>
          <w:rFonts w:ascii="Times New Roman" w:eastAsia="Times New Roman" w:hAnsi="Times New Roman" w:cs="Times New Roman"/>
          <w:b/>
          <w:sz w:val="24"/>
          <w:szCs w:val="24"/>
        </w:rPr>
        <w:t>Insight</w:t>
      </w:r>
      <w:r w:rsidR="009052AF" w:rsidRPr="000102F0">
        <w:rPr>
          <w:rFonts w:ascii="Times New Roman" w:eastAsia="Times New Roman" w:hAnsi="Times New Roman" w:cs="Times New Roman"/>
          <w:sz w:val="24"/>
          <w:szCs w:val="24"/>
        </w:rPr>
        <w:t xml:space="preserve">: These differences highlight the necessity of policies that support economic expansion in areas with lower incomes, possibly by funding technology, infrastructure, and education. </w:t>
      </w:r>
    </w:p>
    <w:p w:rsidR="00151FA5" w:rsidRDefault="00151FA5" w:rsidP="00406D5D">
      <w:pPr>
        <w:pStyle w:val="Heading2"/>
        <w:spacing w:line="360" w:lineRule="auto"/>
        <w:jc w:val="both"/>
      </w:pPr>
      <w:r>
        <w:t>4.3 Government Debt and Fiscal Health</w:t>
      </w:r>
    </w:p>
    <w:p w:rsidR="00755428" w:rsidRDefault="009052AF" w:rsidP="00406D5D">
      <w:pPr>
        <w:spacing w:after="240" w:line="360" w:lineRule="auto"/>
        <w:jc w:val="both"/>
        <w:rPr>
          <w:rFonts w:ascii="Times New Roman" w:eastAsia="Times New Roman" w:hAnsi="Times New Roman" w:cs="Times New Roman"/>
          <w:b/>
          <w:sz w:val="24"/>
          <w:szCs w:val="24"/>
        </w:rPr>
      </w:pPr>
      <w:r w:rsidRPr="009052AF">
        <w:rPr>
          <w:rFonts w:ascii="Times New Roman" w:eastAsia="Times New Roman" w:hAnsi="Times New Roman" w:cs="Times New Roman"/>
          <w:sz w:val="24"/>
          <w:szCs w:val="24"/>
        </w:rPr>
        <w:t>High levels of public debt make a region more susceptible to economic shocks. This realization is especially important for emerging markets, which can find it difficult to p</w:t>
      </w:r>
      <w:r w:rsidR="00755428">
        <w:rPr>
          <w:rFonts w:ascii="Times New Roman" w:eastAsia="Times New Roman" w:hAnsi="Times New Roman" w:cs="Times New Roman"/>
          <w:sz w:val="24"/>
          <w:szCs w:val="24"/>
        </w:rPr>
        <w:t xml:space="preserve">ay off debt during recessions. </w:t>
      </w:r>
    </w:p>
    <w:p w:rsidR="009052AF" w:rsidRPr="00755428" w:rsidRDefault="009052AF" w:rsidP="00755428">
      <w:pPr>
        <w:pStyle w:val="ListParagraph"/>
        <w:numPr>
          <w:ilvl w:val="0"/>
          <w:numId w:val="19"/>
        </w:numPr>
        <w:spacing w:after="240" w:line="360" w:lineRule="auto"/>
        <w:jc w:val="both"/>
        <w:rPr>
          <w:rFonts w:ascii="Times New Roman" w:eastAsia="Times New Roman" w:hAnsi="Times New Roman" w:cs="Times New Roman"/>
          <w:sz w:val="24"/>
          <w:szCs w:val="24"/>
        </w:rPr>
      </w:pPr>
      <w:r w:rsidRPr="00755428">
        <w:rPr>
          <w:rFonts w:ascii="Times New Roman" w:eastAsia="Times New Roman" w:hAnsi="Times New Roman" w:cs="Times New Roman"/>
          <w:b/>
          <w:sz w:val="24"/>
          <w:szCs w:val="24"/>
        </w:rPr>
        <w:t>Insight</w:t>
      </w:r>
      <w:r w:rsidRPr="00755428">
        <w:rPr>
          <w:rFonts w:ascii="Times New Roman" w:eastAsia="Times New Roman" w:hAnsi="Times New Roman" w:cs="Times New Roman"/>
          <w:sz w:val="24"/>
          <w:szCs w:val="24"/>
        </w:rPr>
        <w:t xml:space="preserve">: To guarantee long-term viability, areas with high debt levels may need to implement fiscal austerity measures or debt restructuring. </w:t>
      </w:r>
    </w:p>
    <w:p w:rsidR="00151FA5" w:rsidRDefault="00151FA5" w:rsidP="00406D5D">
      <w:pPr>
        <w:pStyle w:val="Heading2"/>
        <w:spacing w:line="360" w:lineRule="auto"/>
        <w:jc w:val="both"/>
      </w:pPr>
      <w:r>
        <w:t>4.4 Unemployment and Labor Market Health</w:t>
      </w:r>
    </w:p>
    <w:p w:rsidR="00755428" w:rsidRDefault="009052AF" w:rsidP="00406D5D">
      <w:pPr>
        <w:spacing w:after="240" w:line="360" w:lineRule="auto"/>
        <w:jc w:val="both"/>
        <w:rPr>
          <w:rFonts w:ascii="Times New Roman" w:eastAsia="Times New Roman" w:hAnsi="Times New Roman" w:cs="Times New Roman"/>
          <w:sz w:val="24"/>
          <w:szCs w:val="24"/>
        </w:rPr>
      </w:pPr>
      <w:r w:rsidRPr="009052AF">
        <w:rPr>
          <w:rFonts w:ascii="Times New Roman" w:eastAsia="Times New Roman" w:hAnsi="Times New Roman" w:cs="Times New Roman"/>
          <w:sz w:val="24"/>
          <w:szCs w:val="24"/>
        </w:rPr>
        <w:t>One important measure of the state of the economy is unemployment. Policies to promote job creation and enhance labor skills may be necessary in areas with high unemployment rates.</w:t>
      </w:r>
    </w:p>
    <w:p w:rsidR="009052AF" w:rsidRPr="00755428" w:rsidRDefault="009052AF" w:rsidP="00755428">
      <w:pPr>
        <w:pStyle w:val="ListParagraph"/>
        <w:numPr>
          <w:ilvl w:val="0"/>
          <w:numId w:val="19"/>
        </w:numPr>
        <w:spacing w:after="240" w:line="360" w:lineRule="auto"/>
        <w:jc w:val="both"/>
        <w:rPr>
          <w:rFonts w:ascii="Times New Roman" w:eastAsia="Times New Roman" w:hAnsi="Times New Roman" w:cs="Times New Roman"/>
          <w:sz w:val="24"/>
          <w:szCs w:val="24"/>
        </w:rPr>
      </w:pPr>
      <w:r w:rsidRPr="00755428">
        <w:rPr>
          <w:rFonts w:ascii="Times New Roman" w:eastAsia="Times New Roman" w:hAnsi="Times New Roman" w:cs="Times New Roman"/>
          <w:b/>
          <w:sz w:val="24"/>
          <w:szCs w:val="24"/>
        </w:rPr>
        <w:t>Insight</w:t>
      </w:r>
      <w:r w:rsidRPr="00755428">
        <w:rPr>
          <w:rFonts w:ascii="Times New Roman" w:eastAsia="Times New Roman" w:hAnsi="Times New Roman" w:cs="Times New Roman"/>
          <w:sz w:val="24"/>
          <w:szCs w:val="24"/>
        </w:rPr>
        <w:t xml:space="preserve">: Sector-specific interventions, incentives for business expansion, and workforce training programs are among ways that policymakers could combat unemployment. </w:t>
      </w:r>
    </w:p>
    <w:p w:rsidR="00151FA5" w:rsidRDefault="00151FA5" w:rsidP="00406D5D">
      <w:pPr>
        <w:pStyle w:val="Heading2"/>
        <w:spacing w:line="360" w:lineRule="auto"/>
        <w:jc w:val="both"/>
      </w:pPr>
      <w:r>
        <w:t>4.5 Key Influencers on GDP</w:t>
      </w:r>
    </w:p>
    <w:p w:rsidR="00755428" w:rsidRDefault="009052AF" w:rsidP="00406D5D">
      <w:pPr>
        <w:spacing w:after="240" w:line="360" w:lineRule="auto"/>
        <w:jc w:val="both"/>
        <w:rPr>
          <w:rFonts w:ascii="Times New Roman" w:eastAsia="Times New Roman" w:hAnsi="Times New Roman" w:cs="Times New Roman"/>
          <w:sz w:val="24"/>
          <w:szCs w:val="24"/>
        </w:rPr>
      </w:pPr>
      <w:r w:rsidRPr="009052AF">
        <w:rPr>
          <w:rFonts w:ascii="Times New Roman" w:eastAsia="Times New Roman" w:hAnsi="Times New Roman" w:cs="Times New Roman"/>
          <w:sz w:val="24"/>
          <w:szCs w:val="24"/>
        </w:rPr>
        <w:t>The Key Influencers chart shows how GDP is greatly impacted by elements like national savings and government revenue. Prioritizing economic strategies that encourage savings and effective revenue collection can</w:t>
      </w:r>
      <w:r w:rsidR="00755428">
        <w:rPr>
          <w:rFonts w:ascii="Times New Roman" w:eastAsia="Times New Roman" w:hAnsi="Times New Roman" w:cs="Times New Roman"/>
          <w:sz w:val="24"/>
          <w:szCs w:val="24"/>
        </w:rPr>
        <w:t xml:space="preserve"> be aided by this realization. </w:t>
      </w:r>
    </w:p>
    <w:p w:rsidR="00140C0E" w:rsidRPr="00755428" w:rsidRDefault="009052AF" w:rsidP="00755428">
      <w:pPr>
        <w:pStyle w:val="ListParagraph"/>
        <w:numPr>
          <w:ilvl w:val="0"/>
          <w:numId w:val="19"/>
        </w:numPr>
        <w:spacing w:after="240" w:line="360" w:lineRule="auto"/>
        <w:jc w:val="both"/>
        <w:rPr>
          <w:rFonts w:ascii="Times New Roman" w:eastAsia="Times New Roman" w:hAnsi="Times New Roman" w:cs="Times New Roman"/>
          <w:sz w:val="24"/>
          <w:szCs w:val="24"/>
        </w:rPr>
      </w:pPr>
      <w:r w:rsidRPr="00755428">
        <w:rPr>
          <w:rFonts w:ascii="Times New Roman" w:eastAsia="Times New Roman" w:hAnsi="Times New Roman" w:cs="Times New Roman"/>
          <w:b/>
          <w:sz w:val="24"/>
          <w:szCs w:val="24"/>
        </w:rPr>
        <w:t>Insight</w:t>
      </w:r>
      <w:r w:rsidRPr="00755428">
        <w:rPr>
          <w:rFonts w:ascii="Times New Roman" w:eastAsia="Times New Roman" w:hAnsi="Times New Roman" w:cs="Times New Roman"/>
          <w:sz w:val="24"/>
          <w:szCs w:val="24"/>
        </w:rPr>
        <w:t xml:space="preserve">: Countries may build a stronger basis for economic growth by concentrating on raising government revenue and promoting national savings. </w:t>
      </w:r>
    </w:p>
    <w:p w:rsidR="00180905" w:rsidRDefault="005264F4" w:rsidP="00406D5D">
      <w:pPr>
        <w:spacing w:line="360" w:lineRule="auto"/>
        <w:jc w:val="both"/>
      </w:pPr>
      <w:r>
        <w:rPr>
          <w:noProof/>
        </w:rPr>
        <w:lastRenderedPageBreak/>
        <w:drawing>
          <wp:inline distT="0" distB="0" distL="0" distR="0" wp14:anchorId="62B709D9" wp14:editId="731E02B9">
            <wp:extent cx="5762369" cy="31051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3813" t="20661" r="18359" b="14324"/>
                    <a:stretch/>
                  </pic:blipFill>
                  <pic:spPr bwMode="auto">
                    <a:xfrm>
                      <a:off x="0" y="0"/>
                      <a:ext cx="5773313" cy="3111047"/>
                    </a:xfrm>
                    <a:prstGeom prst="rect">
                      <a:avLst/>
                    </a:prstGeom>
                    <a:ln>
                      <a:noFill/>
                    </a:ln>
                    <a:extLst>
                      <a:ext uri="{53640926-AAD7-44D8-BBD7-CCE9431645EC}">
                        <a14:shadowObscured xmlns:a14="http://schemas.microsoft.com/office/drawing/2010/main"/>
                      </a:ext>
                    </a:extLst>
                  </pic:spPr>
                </pic:pic>
              </a:graphicData>
            </a:graphic>
          </wp:inline>
        </w:drawing>
      </w:r>
    </w:p>
    <w:p w:rsidR="004E6742" w:rsidRDefault="004E6742" w:rsidP="00406D5D">
      <w:pPr>
        <w:pStyle w:val="Heading2"/>
        <w:spacing w:line="360" w:lineRule="auto"/>
        <w:jc w:val="both"/>
      </w:pPr>
      <w:r>
        <w:rPr>
          <w:rStyle w:val="Strong"/>
        </w:rPr>
        <w:t>5.</w:t>
      </w:r>
      <w:r>
        <w:rPr>
          <w:rStyle w:val="Strong"/>
        </w:rPr>
        <w:t xml:space="preserve"> Key Economic Indicators</w:t>
      </w:r>
    </w:p>
    <w:p w:rsidR="004E6742" w:rsidRPr="004D6C1A" w:rsidRDefault="004E6742" w:rsidP="00406D5D">
      <w:pPr>
        <w:pStyle w:val="Heading2"/>
        <w:spacing w:line="360" w:lineRule="auto"/>
        <w:jc w:val="both"/>
        <w:rPr>
          <w:sz w:val="24"/>
          <w:szCs w:val="24"/>
        </w:rPr>
      </w:pPr>
      <w:r>
        <w:t>Gross Domestic Product (GDP)</w:t>
      </w:r>
    </w:p>
    <w:p w:rsidR="00755428" w:rsidRDefault="009052AF" w:rsidP="00406D5D">
      <w:pPr>
        <w:spacing w:after="240" w:line="360" w:lineRule="auto"/>
        <w:jc w:val="both"/>
        <w:rPr>
          <w:rFonts w:ascii="Times New Roman" w:eastAsia="Times New Roman" w:hAnsi="Times New Roman" w:cs="Times New Roman"/>
          <w:sz w:val="24"/>
          <w:szCs w:val="24"/>
        </w:rPr>
      </w:pPr>
      <w:r w:rsidRPr="009052AF">
        <w:rPr>
          <w:rFonts w:ascii="Times New Roman" w:eastAsia="Times New Roman" w:hAnsi="Times New Roman" w:cs="Times New Roman"/>
          <w:sz w:val="24"/>
          <w:szCs w:val="24"/>
        </w:rPr>
        <w:t>The GDP gave a sense of the size and performance of the economy over time, measured in both current and constant prices. Current prices provide nominal values, whereas constant prices account for inflation and allow us to observe real growth. The data displays GDP growth trends for various countries, with mature economies generally demonstrating slower but steadier development c</w:t>
      </w:r>
      <w:r w:rsidR="00755428">
        <w:rPr>
          <w:rFonts w:ascii="Times New Roman" w:eastAsia="Times New Roman" w:hAnsi="Times New Roman" w:cs="Times New Roman"/>
          <w:sz w:val="24"/>
          <w:szCs w:val="24"/>
        </w:rPr>
        <w:t xml:space="preserve">ompared to emerging markets. </w:t>
      </w:r>
    </w:p>
    <w:p w:rsidR="009052AF" w:rsidRPr="00755428" w:rsidRDefault="009052AF" w:rsidP="00755428">
      <w:pPr>
        <w:pStyle w:val="ListParagraph"/>
        <w:numPr>
          <w:ilvl w:val="0"/>
          <w:numId w:val="19"/>
        </w:numPr>
        <w:spacing w:after="240" w:line="360" w:lineRule="auto"/>
        <w:jc w:val="both"/>
        <w:rPr>
          <w:rFonts w:ascii="Times New Roman" w:eastAsia="Times New Roman" w:hAnsi="Times New Roman" w:cs="Times New Roman"/>
          <w:sz w:val="24"/>
          <w:szCs w:val="24"/>
        </w:rPr>
      </w:pPr>
      <w:r w:rsidRPr="00755428">
        <w:rPr>
          <w:rFonts w:ascii="Times New Roman" w:eastAsia="Times New Roman" w:hAnsi="Times New Roman" w:cs="Times New Roman"/>
          <w:sz w:val="24"/>
          <w:szCs w:val="24"/>
        </w:rPr>
        <w:t xml:space="preserve">GDP Change Percentage: The GDP change percentage varies by area between 2000 and 2023. More developed economies, such as those in North America and Europe, exhibit steady trends but slower growth rates. On the other hand, emerging markets in Asia and Africa have higher average growth rates but also more volatility. </w:t>
      </w:r>
    </w:p>
    <w:p w:rsidR="004E6742" w:rsidRDefault="004E6742" w:rsidP="00406D5D">
      <w:pPr>
        <w:pStyle w:val="Heading2"/>
        <w:spacing w:line="360" w:lineRule="auto"/>
        <w:jc w:val="both"/>
      </w:pPr>
      <w:r>
        <w:t>Inflation Rate</w:t>
      </w:r>
    </w:p>
    <w:p w:rsidR="00755428" w:rsidRDefault="009052AF" w:rsidP="00406D5D">
      <w:pPr>
        <w:spacing w:after="240" w:line="360" w:lineRule="auto"/>
        <w:jc w:val="both"/>
        <w:rPr>
          <w:rFonts w:ascii="Times New Roman" w:eastAsia="Times New Roman" w:hAnsi="Times New Roman" w:cs="Times New Roman"/>
          <w:sz w:val="24"/>
          <w:szCs w:val="24"/>
        </w:rPr>
      </w:pPr>
      <w:r w:rsidRPr="009052AF">
        <w:rPr>
          <w:rFonts w:ascii="Times New Roman" w:eastAsia="Times New Roman" w:hAnsi="Times New Roman" w:cs="Times New Roman"/>
          <w:sz w:val="24"/>
          <w:szCs w:val="24"/>
        </w:rPr>
        <w:t>The rate of inflation quantified the gradual increase in the cost of goods and services. The information reveals trends in inflation that are impacted by international variables like currency rates, monetary po</w:t>
      </w:r>
      <w:r w:rsidR="00755428">
        <w:rPr>
          <w:rFonts w:ascii="Times New Roman" w:eastAsia="Times New Roman" w:hAnsi="Times New Roman" w:cs="Times New Roman"/>
          <w:sz w:val="24"/>
          <w:szCs w:val="24"/>
        </w:rPr>
        <w:t xml:space="preserve">licy, and commodity pricing. </w:t>
      </w:r>
    </w:p>
    <w:p w:rsidR="009052AF" w:rsidRPr="00755428" w:rsidRDefault="009052AF" w:rsidP="00755428">
      <w:pPr>
        <w:pStyle w:val="ListParagraph"/>
        <w:numPr>
          <w:ilvl w:val="0"/>
          <w:numId w:val="19"/>
        </w:numPr>
        <w:spacing w:after="240" w:line="360" w:lineRule="auto"/>
        <w:jc w:val="both"/>
        <w:rPr>
          <w:rFonts w:ascii="Times New Roman" w:eastAsia="Times New Roman" w:hAnsi="Times New Roman" w:cs="Times New Roman"/>
          <w:sz w:val="24"/>
          <w:szCs w:val="24"/>
        </w:rPr>
      </w:pPr>
      <w:r w:rsidRPr="00755428">
        <w:rPr>
          <w:rFonts w:ascii="Times New Roman" w:eastAsia="Times New Roman" w:hAnsi="Times New Roman" w:cs="Times New Roman"/>
          <w:sz w:val="24"/>
          <w:szCs w:val="24"/>
        </w:rPr>
        <w:lastRenderedPageBreak/>
        <w:t xml:space="preserve">Global Trends: Although inflation has largely remained within a modest range, fundamental economic issues have caused higher inflation rates in portions of Latin America and Africa. </w:t>
      </w:r>
    </w:p>
    <w:p w:rsidR="004E6742" w:rsidRDefault="004E6742" w:rsidP="00406D5D">
      <w:pPr>
        <w:pStyle w:val="Heading2"/>
        <w:spacing w:line="360" w:lineRule="auto"/>
        <w:jc w:val="both"/>
      </w:pPr>
      <w:r>
        <w:t>Unemployment Rate</w:t>
      </w:r>
    </w:p>
    <w:p w:rsidR="00755428" w:rsidRDefault="009052AF" w:rsidP="00406D5D">
      <w:pPr>
        <w:spacing w:after="240" w:line="360" w:lineRule="auto"/>
        <w:jc w:val="both"/>
        <w:rPr>
          <w:rFonts w:ascii="Times New Roman" w:eastAsia="Times New Roman" w:hAnsi="Times New Roman" w:cs="Times New Roman"/>
          <w:sz w:val="24"/>
          <w:szCs w:val="24"/>
        </w:rPr>
      </w:pPr>
      <w:r w:rsidRPr="009052AF">
        <w:rPr>
          <w:rFonts w:ascii="Times New Roman" w:eastAsia="Times New Roman" w:hAnsi="Times New Roman" w:cs="Times New Roman"/>
          <w:sz w:val="24"/>
          <w:szCs w:val="24"/>
        </w:rPr>
        <w:t>The state of the labor market and each nation's overall economic health are refl</w:t>
      </w:r>
      <w:r w:rsidR="00755428">
        <w:rPr>
          <w:rFonts w:ascii="Times New Roman" w:eastAsia="Times New Roman" w:hAnsi="Times New Roman" w:cs="Times New Roman"/>
          <w:sz w:val="24"/>
          <w:szCs w:val="24"/>
        </w:rPr>
        <w:t xml:space="preserve">ected in unemployment rates. </w:t>
      </w:r>
    </w:p>
    <w:p w:rsidR="009052AF" w:rsidRPr="00755428" w:rsidRDefault="009052AF" w:rsidP="00755428">
      <w:pPr>
        <w:pStyle w:val="ListParagraph"/>
        <w:numPr>
          <w:ilvl w:val="0"/>
          <w:numId w:val="19"/>
        </w:numPr>
        <w:spacing w:after="240" w:line="360" w:lineRule="auto"/>
        <w:jc w:val="both"/>
        <w:rPr>
          <w:rFonts w:ascii="Times New Roman" w:eastAsia="Times New Roman" w:hAnsi="Times New Roman" w:cs="Times New Roman"/>
          <w:sz w:val="24"/>
          <w:szCs w:val="24"/>
        </w:rPr>
      </w:pPr>
      <w:r w:rsidRPr="00755428">
        <w:rPr>
          <w:rFonts w:ascii="Times New Roman" w:eastAsia="Times New Roman" w:hAnsi="Times New Roman" w:cs="Times New Roman"/>
          <w:sz w:val="24"/>
          <w:szCs w:val="24"/>
        </w:rPr>
        <w:t xml:space="preserve">Comparing regions: Because to labor market rigidities, unemployment rates were higher in European countries. Economic cycles and reliance on commodity exports were associated with markets that experienced employment instability. </w:t>
      </w:r>
    </w:p>
    <w:p w:rsidR="004E6742" w:rsidRDefault="004E6742" w:rsidP="00406D5D">
      <w:pPr>
        <w:pStyle w:val="NormalWeb"/>
        <w:spacing w:line="360" w:lineRule="auto"/>
        <w:jc w:val="both"/>
      </w:pPr>
      <w:r w:rsidRPr="004E6742">
        <w:rPr>
          <w:rStyle w:val="Heading1Char"/>
        </w:rPr>
        <w:t>6.</w:t>
      </w:r>
      <w:r>
        <w:rPr>
          <w:rStyle w:val="Heading1Char"/>
        </w:rPr>
        <w:t xml:space="preserve"> R</w:t>
      </w:r>
      <w:r w:rsidRPr="004E6742">
        <w:rPr>
          <w:rStyle w:val="Heading1Char"/>
        </w:rPr>
        <w:t>egional Analysis and Comparisons</w:t>
      </w:r>
    </w:p>
    <w:p w:rsidR="00755428" w:rsidRDefault="009052AF" w:rsidP="00755428">
      <w:pPr>
        <w:spacing w:after="240" w:line="360" w:lineRule="auto"/>
        <w:jc w:val="both"/>
        <w:rPr>
          <w:rFonts w:ascii="Times New Roman" w:eastAsia="Times New Roman" w:hAnsi="Times New Roman" w:cs="Times New Roman"/>
          <w:sz w:val="24"/>
          <w:szCs w:val="24"/>
        </w:rPr>
      </w:pPr>
      <w:r w:rsidRPr="00755428">
        <w:rPr>
          <w:rFonts w:ascii="Times New Roman" w:eastAsia="Times New Roman" w:hAnsi="Times New Roman" w:cs="Times New Roman"/>
          <w:sz w:val="24"/>
          <w:szCs w:val="24"/>
        </w:rPr>
        <w:t xml:space="preserve">Europe &amp; Central Asia, East Asia &amp; Pacific, North America, and the Middle East &amp; North Africa are some of the regions by which the dashboard separates the data. </w:t>
      </w:r>
    </w:p>
    <w:p w:rsidR="00755428" w:rsidRDefault="009052AF" w:rsidP="00755428">
      <w:pPr>
        <w:spacing w:after="240" w:line="360" w:lineRule="auto"/>
        <w:jc w:val="both"/>
        <w:rPr>
          <w:rFonts w:ascii="Times New Roman" w:eastAsia="Times New Roman" w:hAnsi="Times New Roman" w:cs="Times New Roman"/>
          <w:sz w:val="24"/>
          <w:szCs w:val="24"/>
        </w:rPr>
      </w:pPr>
      <w:r w:rsidRPr="00755428">
        <w:rPr>
          <w:rFonts w:ascii="Times New Roman" w:eastAsia="Times New Roman" w:hAnsi="Times New Roman" w:cs="Times New Roman"/>
          <w:sz w:val="24"/>
          <w:szCs w:val="24"/>
        </w:rPr>
        <w:t>Key findings from these region</w:t>
      </w:r>
      <w:r w:rsidR="00755428">
        <w:rPr>
          <w:rFonts w:ascii="Times New Roman" w:eastAsia="Times New Roman" w:hAnsi="Times New Roman" w:cs="Times New Roman"/>
          <w:sz w:val="24"/>
          <w:szCs w:val="24"/>
        </w:rPr>
        <w:t xml:space="preserve">s are summarized as follows: </w:t>
      </w:r>
    </w:p>
    <w:p w:rsidR="00755428" w:rsidRDefault="009052AF" w:rsidP="00755428">
      <w:pPr>
        <w:pStyle w:val="ListParagraph"/>
        <w:numPr>
          <w:ilvl w:val="0"/>
          <w:numId w:val="19"/>
        </w:numPr>
        <w:spacing w:after="240" w:line="360" w:lineRule="auto"/>
        <w:jc w:val="both"/>
        <w:rPr>
          <w:rFonts w:ascii="Times New Roman" w:eastAsia="Times New Roman" w:hAnsi="Times New Roman" w:cs="Times New Roman"/>
          <w:sz w:val="24"/>
          <w:szCs w:val="24"/>
        </w:rPr>
      </w:pPr>
      <w:r w:rsidRPr="00755428">
        <w:rPr>
          <w:rFonts w:ascii="Times New Roman" w:eastAsia="Times New Roman" w:hAnsi="Times New Roman" w:cs="Times New Roman"/>
          <w:b/>
          <w:sz w:val="24"/>
          <w:szCs w:val="24"/>
        </w:rPr>
        <w:t>Europe and Central Asia:</w:t>
      </w:r>
      <w:r w:rsidRPr="00755428">
        <w:rPr>
          <w:rFonts w:ascii="Times New Roman" w:eastAsia="Times New Roman" w:hAnsi="Times New Roman" w:cs="Times New Roman"/>
          <w:sz w:val="24"/>
          <w:szCs w:val="24"/>
        </w:rPr>
        <w:t xml:space="preserve"> This region exhibits greater debt levels, moderate inflation, and a consistent GDP growth rate. Stable economic performance is impacted by structural problems like aging populati</w:t>
      </w:r>
      <w:r w:rsidR="00755428">
        <w:rPr>
          <w:rFonts w:ascii="Times New Roman" w:eastAsia="Times New Roman" w:hAnsi="Times New Roman" w:cs="Times New Roman"/>
          <w:sz w:val="24"/>
          <w:szCs w:val="24"/>
        </w:rPr>
        <w:t xml:space="preserve">ons and tight labor markets. </w:t>
      </w:r>
    </w:p>
    <w:p w:rsidR="00755428" w:rsidRDefault="009052AF" w:rsidP="00755428">
      <w:pPr>
        <w:pStyle w:val="ListParagraph"/>
        <w:numPr>
          <w:ilvl w:val="0"/>
          <w:numId w:val="19"/>
        </w:numPr>
        <w:spacing w:after="240" w:line="360" w:lineRule="auto"/>
        <w:jc w:val="both"/>
        <w:rPr>
          <w:rFonts w:ascii="Times New Roman" w:eastAsia="Times New Roman" w:hAnsi="Times New Roman" w:cs="Times New Roman"/>
          <w:sz w:val="24"/>
          <w:szCs w:val="24"/>
        </w:rPr>
      </w:pPr>
      <w:r w:rsidRPr="00755428">
        <w:rPr>
          <w:rFonts w:ascii="Times New Roman" w:eastAsia="Times New Roman" w:hAnsi="Times New Roman" w:cs="Times New Roman"/>
          <w:b/>
          <w:sz w:val="24"/>
          <w:szCs w:val="24"/>
        </w:rPr>
        <w:t>East Asia &amp; Pacific</w:t>
      </w:r>
      <w:r w:rsidRPr="00755428">
        <w:rPr>
          <w:rFonts w:ascii="Times New Roman" w:eastAsia="Times New Roman" w:hAnsi="Times New Roman" w:cs="Times New Roman"/>
          <w:sz w:val="24"/>
          <w:szCs w:val="24"/>
        </w:rPr>
        <w:t>: This region has experienced strong GDP growth and moderate inflation, especially in China and Southeast Asian countries. Nonetheless, debt levels are increasing, especially as a result of hig</w:t>
      </w:r>
      <w:r w:rsidR="00755428">
        <w:rPr>
          <w:rFonts w:ascii="Times New Roman" w:eastAsia="Times New Roman" w:hAnsi="Times New Roman" w:cs="Times New Roman"/>
          <w:sz w:val="24"/>
          <w:szCs w:val="24"/>
        </w:rPr>
        <w:t xml:space="preserve">her infrastructure spending. </w:t>
      </w:r>
    </w:p>
    <w:p w:rsidR="00755428" w:rsidRDefault="009052AF" w:rsidP="00755428">
      <w:pPr>
        <w:pStyle w:val="ListParagraph"/>
        <w:numPr>
          <w:ilvl w:val="0"/>
          <w:numId w:val="19"/>
        </w:numPr>
        <w:spacing w:after="240" w:line="360" w:lineRule="auto"/>
        <w:jc w:val="both"/>
        <w:rPr>
          <w:rFonts w:ascii="Times New Roman" w:eastAsia="Times New Roman" w:hAnsi="Times New Roman" w:cs="Times New Roman"/>
          <w:sz w:val="24"/>
          <w:szCs w:val="24"/>
        </w:rPr>
      </w:pPr>
      <w:r w:rsidRPr="00755428">
        <w:rPr>
          <w:rFonts w:ascii="Times New Roman" w:eastAsia="Times New Roman" w:hAnsi="Times New Roman" w:cs="Times New Roman"/>
          <w:b/>
          <w:sz w:val="24"/>
          <w:szCs w:val="24"/>
        </w:rPr>
        <w:t>North America</w:t>
      </w:r>
      <w:r w:rsidRPr="00755428">
        <w:rPr>
          <w:rFonts w:ascii="Times New Roman" w:eastAsia="Times New Roman" w:hAnsi="Times New Roman" w:cs="Times New Roman"/>
          <w:sz w:val="24"/>
          <w:szCs w:val="24"/>
        </w:rPr>
        <w:t xml:space="preserve">: The US and Canada have stable inflation, large GDPs, and low unemployment rates. Because of the robust economic performance, the debt is sustainable while being somewhat high. </w:t>
      </w:r>
    </w:p>
    <w:p w:rsidR="009052AF" w:rsidRPr="00755428" w:rsidRDefault="009052AF" w:rsidP="00755428">
      <w:pPr>
        <w:pStyle w:val="ListParagraph"/>
        <w:numPr>
          <w:ilvl w:val="0"/>
          <w:numId w:val="19"/>
        </w:numPr>
        <w:spacing w:after="240" w:line="360" w:lineRule="auto"/>
        <w:jc w:val="both"/>
        <w:rPr>
          <w:rFonts w:ascii="Times New Roman" w:eastAsia="Times New Roman" w:hAnsi="Times New Roman" w:cs="Times New Roman"/>
          <w:sz w:val="24"/>
          <w:szCs w:val="24"/>
        </w:rPr>
      </w:pPr>
      <w:r w:rsidRPr="00755428">
        <w:rPr>
          <w:rFonts w:ascii="Times New Roman" w:eastAsia="Times New Roman" w:hAnsi="Times New Roman" w:cs="Times New Roman"/>
          <w:b/>
          <w:sz w:val="24"/>
          <w:szCs w:val="24"/>
        </w:rPr>
        <w:t>Middle East &amp; North Africa:</w:t>
      </w:r>
      <w:r w:rsidRPr="00755428">
        <w:rPr>
          <w:rFonts w:ascii="Times New Roman" w:eastAsia="Times New Roman" w:hAnsi="Times New Roman" w:cs="Times New Roman"/>
          <w:sz w:val="24"/>
          <w:szCs w:val="24"/>
        </w:rPr>
        <w:t xml:space="preserve"> The GDP and government revenue of this region are highly volatile, and oil prices have a considerable impact. Depending on the stability of oil revenue, unemployment and inflation fluctuate.</w:t>
      </w:r>
    </w:p>
    <w:p w:rsidR="004E6742" w:rsidRDefault="00755428" w:rsidP="00755428">
      <w:pPr>
        <w:pStyle w:val="Heading2"/>
      </w:pPr>
      <w:r>
        <w:rPr>
          <w:rStyle w:val="Strong"/>
        </w:rPr>
        <w:lastRenderedPageBreak/>
        <w:t xml:space="preserve">6.1 </w:t>
      </w:r>
      <w:r w:rsidR="004E6742">
        <w:rPr>
          <w:rStyle w:val="Strong"/>
        </w:rPr>
        <w:t>Key Influences on Economic Indicators</w:t>
      </w:r>
    </w:p>
    <w:p w:rsidR="00755428" w:rsidRDefault="000A7F59" w:rsidP="00406D5D">
      <w:pPr>
        <w:spacing w:after="0" w:line="360" w:lineRule="auto"/>
        <w:jc w:val="both"/>
        <w:rPr>
          <w:rFonts w:ascii="Times New Roman" w:eastAsia="Times New Roman" w:hAnsi="Times New Roman" w:cs="Times New Roman"/>
          <w:sz w:val="24"/>
          <w:szCs w:val="24"/>
        </w:rPr>
      </w:pPr>
      <w:r w:rsidRPr="000A7F59">
        <w:rPr>
          <w:rFonts w:ascii="Times New Roman" w:eastAsia="Times New Roman" w:hAnsi="Times New Roman" w:cs="Times New Roman"/>
          <w:sz w:val="24"/>
          <w:szCs w:val="24"/>
        </w:rPr>
        <w:t>The "Key Influencers" portion of the dashboard lists the variables influencing GDP, inflation, and other indicators. The foll</w:t>
      </w:r>
      <w:r w:rsidR="00755428">
        <w:rPr>
          <w:rFonts w:ascii="Times New Roman" w:eastAsia="Times New Roman" w:hAnsi="Times New Roman" w:cs="Times New Roman"/>
          <w:sz w:val="24"/>
          <w:szCs w:val="24"/>
        </w:rPr>
        <w:t xml:space="preserve">owing observations were made: </w:t>
      </w:r>
    </w:p>
    <w:p w:rsidR="00755428" w:rsidRDefault="000A7F59" w:rsidP="00755428">
      <w:pPr>
        <w:pStyle w:val="ListParagraph"/>
        <w:numPr>
          <w:ilvl w:val="0"/>
          <w:numId w:val="20"/>
        </w:numPr>
        <w:spacing w:after="0" w:line="360" w:lineRule="auto"/>
        <w:jc w:val="both"/>
        <w:rPr>
          <w:rFonts w:ascii="Times New Roman" w:eastAsia="Times New Roman" w:hAnsi="Times New Roman" w:cs="Times New Roman"/>
          <w:sz w:val="24"/>
          <w:szCs w:val="24"/>
        </w:rPr>
      </w:pPr>
      <w:r w:rsidRPr="00755428">
        <w:rPr>
          <w:rFonts w:ascii="Times New Roman" w:eastAsia="Times New Roman" w:hAnsi="Times New Roman" w:cs="Times New Roman"/>
          <w:b/>
          <w:sz w:val="24"/>
          <w:szCs w:val="24"/>
        </w:rPr>
        <w:t>Government Debt</w:t>
      </w:r>
      <w:r w:rsidRPr="00755428">
        <w:rPr>
          <w:rFonts w:ascii="Times New Roman" w:eastAsia="Times New Roman" w:hAnsi="Times New Roman" w:cs="Times New Roman"/>
          <w:sz w:val="24"/>
          <w:szCs w:val="24"/>
        </w:rPr>
        <w:t>: Because of interest payments and a diminished ability to invest, higher government debt frequently corresponds with</w:t>
      </w:r>
      <w:r w:rsidR="00755428">
        <w:rPr>
          <w:rFonts w:ascii="Times New Roman" w:eastAsia="Times New Roman" w:hAnsi="Times New Roman" w:cs="Times New Roman"/>
          <w:sz w:val="24"/>
          <w:szCs w:val="24"/>
        </w:rPr>
        <w:t xml:space="preserve"> slower GDP growth. </w:t>
      </w:r>
    </w:p>
    <w:p w:rsidR="00755428" w:rsidRDefault="000A7F59" w:rsidP="00755428">
      <w:pPr>
        <w:pStyle w:val="ListParagraph"/>
        <w:numPr>
          <w:ilvl w:val="0"/>
          <w:numId w:val="20"/>
        </w:numPr>
        <w:spacing w:after="0" w:line="360" w:lineRule="auto"/>
        <w:jc w:val="both"/>
        <w:rPr>
          <w:rFonts w:ascii="Times New Roman" w:eastAsia="Times New Roman" w:hAnsi="Times New Roman" w:cs="Times New Roman"/>
          <w:sz w:val="24"/>
          <w:szCs w:val="24"/>
        </w:rPr>
      </w:pPr>
      <w:r w:rsidRPr="00755428">
        <w:rPr>
          <w:rFonts w:ascii="Times New Roman" w:eastAsia="Times New Roman" w:hAnsi="Times New Roman" w:cs="Times New Roman"/>
          <w:b/>
          <w:sz w:val="24"/>
          <w:szCs w:val="24"/>
        </w:rPr>
        <w:t>Inflation and Unemployment:</w:t>
      </w:r>
      <w:r w:rsidRPr="00755428">
        <w:rPr>
          <w:rFonts w:ascii="Times New Roman" w:eastAsia="Times New Roman" w:hAnsi="Times New Roman" w:cs="Times New Roman"/>
          <w:sz w:val="24"/>
          <w:szCs w:val="24"/>
        </w:rPr>
        <w:t xml:space="preserve"> Because inflationary pressures can lower demand and purchasing power, nations with higher inflation also frequently hav</w:t>
      </w:r>
      <w:r w:rsidR="00755428">
        <w:rPr>
          <w:rFonts w:ascii="Times New Roman" w:eastAsia="Times New Roman" w:hAnsi="Times New Roman" w:cs="Times New Roman"/>
          <w:sz w:val="24"/>
          <w:szCs w:val="24"/>
        </w:rPr>
        <w:t>e higher unemployment rates.</w:t>
      </w:r>
    </w:p>
    <w:p w:rsidR="000A7F59" w:rsidRPr="00755428" w:rsidRDefault="000A7F59" w:rsidP="00755428">
      <w:pPr>
        <w:pStyle w:val="ListParagraph"/>
        <w:numPr>
          <w:ilvl w:val="0"/>
          <w:numId w:val="20"/>
        </w:numPr>
        <w:spacing w:after="0" w:line="360" w:lineRule="auto"/>
        <w:jc w:val="both"/>
        <w:rPr>
          <w:rFonts w:ascii="Times New Roman" w:eastAsia="Times New Roman" w:hAnsi="Times New Roman" w:cs="Times New Roman"/>
          <w:sz w:val="24"/>
          <w:szCs w:val="24"/>
        </w:rPr>
      </w:pPr>
      <w:r w:rsidRPr="00755428">
        <w:rPr>
          <w:rFonts w:ascii="Times New Roman" w:eastAsia="Times New Roman" w:hAnsi="Times New Roman" w:cs="Times New Roman"/>
          <w:b/>
          <w:sz w:val="24"/>
          <w:szCs w:val="24"/>
        </w:rPr>
        <w:t>GDP and Current Account Balance</w:t>
      </w:r>
      <w:r w:rsidRPr="00755428">
        <w:rPr>
          <w:rFonts w:ascii="Times New Roman" w:eastAsia="Times New Roman" w:hAnsi="Times New Roman" w:cs="Times New Roman"/>
          <w:sz w:val="24"/>
          <w:szCs w:val="24"/>
        </w:rPr>
        <w:t xml:space="preserve">: Stable GDP growth is typically observed in nations with positive current account balances. On the other hand, large deficits could be a sign of structural problems in the economy. </w:t>
      </w:r>
    </w:p>
    <w:p w:rsidR="004E6742" w:rsidRDefault="004E6742" w:rsidP="00755428">
      <w:pPr>
        <w:pStyle w:val="Heading1"/>
      </w:pPr>
      <w:r>
        <w:rPr>
          <w:rStyle w:val="Strong"/>
        </w:rPr>
        <w:t>Conclusion</w:t>
      </w:r>
    </w:p>
    <w:p w:rsidR="00755428" w:rsidRDefault="000A7F59" w:rsidP="00406D5D">
      <w:pPr>
        <w:spacing w:after="240" w:line="360" w:lineRule="auto"/>
        <w:jc w:val="both"/>
        <w:rPr>
          <w:rFonts w:ascii="Times New Roman" w:eastAsia="Times New Roman" w:hAnsi="Times New Roman" w:cs="Times New Roman"/>
          <w:sz w:val="24"/>
          <w:szCs w:val="24"/>
        </w:rPr>
      </w:pPr>
      <w:r w:rsidRPr="000A7F59">
        <w:rPr>
          <w:rFonts w:ascii="Times New Roman" w:eastAsia="Times New Roman" w:hAnsi="Times New Roman" w:cs="Times New Roman"/>
          <w:sz w:val="24"/>
          <w:szCs w:val="24"/>
        </w:rPr>
        <w:t xml:space="preserve">The IMF dashboard provides insightful data on global economic trends and regional disparities. Key measures such as GDP, inflation, and unemployment indicate the economic performance of both advanced and emerging economies. Regional study reveals global economic disparities, with established economies showing stable but gradual development and emerging markets demonstrating faster, more variable growth. </w:t>
      </w:r>
    </w:p>
    <w:p w:rsidR="000A7F59" w:rsidRPr="000A7F59" w:rsidRDefault="00755428" w:rsidP="00406D5D">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0A7F59" w:rsidRPr="000A7F59">
        <w:rPr>
          <w:rFonts w:ascii="Times New Roman" w:eastAsia="Times New Roman" w:hAnsi="Times New Roman" w:cs="Times New Roman"/>
          <w:sz w:val="24"/>
          <w:szCs w:val="24"/>
        </w:rPr>
        <w:t xml:space="preserve">hese findings highlight the relevance of fiscal and monetary policies that are customized to regional economic situations. Policymakers can use these insights to promote long-term growth, keep inflation under control, and manage debt levels, all of which contribute to economic stability. The dashboard is also a great tool for continuing analysis, allowing stakeholders to monitor economic trends and make data-driven decisions. </w:t>
      </w:r>
    </w:p>
    <w:p w:rsidR="007F194C" w:rsidRDefault="007F194C" w:rsidP="00406D5D">
      <w:pPr>
        <w:pStyle w:val="Heading1"/>
        <w:spacing w:line="360" w:lineRule="auto"/>
        <w:jc w:val="both"/>
      </w:pPr>
      <w:r>
        <w:t>References</w:t>
      </w:r>
    </w:p>
    <w:p w:rsidR="00C921F2" w:rsidRPr="00C921F2" w:rsidRDefault="00C921F2" w:rsidP="00406D5D">
      <w:pPr>
        <w:spacing w:line="360" w:lineRule="auto"/>
        <w:jc w:val="both"/>
      </w:pPr>
      <w:r>
        <w:rPr>
          <w:rFonts w:ascii="Arial" w:hAnsi="Arial" w:cs="Arial"/>
          <w:color w:val="222222"/>
          <w:sz w:val="20"/>
          <w:szCs w:val="20"/>
          <w:shd w:val="clear" w:color="auto" w:fill="FFFFFF"/>
        </w:rPr>
        <w:t>Area, E. (2019). IMF: World Economic Outlook. </w:t>
      </w:r>
      <w:r>
        <w:rPr>
          <w:rFonts w:ascii="Arial" w:hAnsi="Arial" w:cs="Arial"/>
          <w:i/>
          <w:iCs/>
          <w:color w:val="222222"/>
          <w:sz w:val="20"/>
          <w:szCs w:val="20"/>
          <w:shd w:val="clear" w:color="auto" w:fill="FFFFFF"/>
        </w:rPr>
        <w:t>World</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2020</w:t>
      </w:r>
      <w:r>
        <w:rPr>
          <w:rFonts w:ascii="Arial" w:hAnsi="Arial" w:cs="Arial"/>
          <w:color w:val="222222"/>
          <w:sz w:val="20"/>
          <w:szCs w:val="20"/>
          <w:shd w:val="clear" w:color="auto" w:fill="FFFFFF"/>
        </w:rPr>
        <w:t>, 2021.</w:t>
      </w:r>
    </w:p>
    <w:sectPr w:rsidR="00C921F2" w:rsidRPr="00C921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56AE5"/>
    <w:multiLevelType w:val="multilevel"/>
    <w:tmpl w:val="4358EE1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994286C"/>
    <w:multiLevelType w:val="multilevel"/>
    <w:tmpl w:val="DF8C9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286286"/>
    <w:multiLevelType w:val="hybridMultilevel"/>
    <w:tmpl w:val="E578E6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4EA05EC"/>
    <w:multiLevelType w:val="hybridMultilevel"/>
    <w:tmpl w:val="9E5A76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D295BD6"/>
    <w:multiLevelType w:val="hybridMultilevel"/>
    <w:tmpl w:val="F990BE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FD02B7E"/>
    <w:multiLevelType w:val="multilevel"/>
    <w:tmpl w:val="5FE8A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B379D1"/>
    <w:multiLevelType w:val="hybridMultilevel"/>
    <w:tmpl w:val="5930E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440DD5"/>
    <w:multiLevelType w:val="multilevel"/>
    <w:tmpl w:val="D2F80D3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2AF11A4B"/>
    <w:multiLevelType w:val="multilevel"/>
    <w:tmpl w:val="A52897F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2DEF5FC9"/>
    <w:multiLevelType w:val="multilevel"/>
    <w:tmpl w:val="FEB0623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34F26541"/>
    <w:multiLevelType w:val="hybridMultilevel"/>
    <w:tmpl w:val="5C70A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17607B"/>
    <w:multiLevelType w:val="hybridMultilevel"/>
    <w:tmpl w:val="923817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E025FDC"/>
    <w:multiLevelType w:val="hybridMultilevel"/>
    <w:tmpl w:val="9F90C3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FBA698C"/>
    <w:multiLevelType w:val="hybridMultilevel"/>
    <w:tmpl w:val="F8F441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FFB04E0"/>
    <w:multiLevelType w:val="hybridMultilevel"/>
    <w:tmpl w:val="493E51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D183E9E"/>
    <w:multiLevelType w:val="multilevel"/>
    <w:tmpl w:val="013E2A8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6" w15:restartNumberingAfterBreak="0">
    <w:nsid w:val="62C15313"/>
    <w:multiLevelType w:val="hybridMultilevel"/>
    <w:tmpl w:val="BBB6B6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FC94F86"/>
    <w:multiLevelType w:val="multilevel"/>
    <w:tmpl w:val="FCC6E01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74FD58ED"/>
    <w:multiLevelType w:val="hybridMultilevel"/>
    <w:tmpl w:val="AC34DF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EC926BD"/>
    <w:multiLevelType w:val="hybridMultilevel"/>
    <w:tmpl w:val="92B25B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7"/>
  </w:num>
  <w:num w:numId="2">
    <w:abstractNumId w:val="8"/>
  </w:num>
  <w:num w:numId="3">
    <w:abstractNumId w:val="17"/>
  </w:num>
  <w:num w:numId="4">
    <w:abstractNumId w:val="9"/>
  </w:num>
  <w:num w:numId="5">
    <w:abstractNumId w:val="5"/>
  </w:num>
  <w:num w:numId="6">
    <w:abstractNumId w:val="1"/>
  </w:num>
  <w:num w:numId="7">
    <w:abstractNumId w:val="3"/>
  </w:num>
  <w:num w:numId="8">
    <w:abstractNumId w:val="13"/>
  </w:num>
  <w:num w:numId="9">
    <w:abstractNumId w:val="14"/>
  </w:num>
  <w:num w:numId="10">
    <w:abstractNumId w:val="18"/>
  </w:num>
  <w:num w:numId="11">
    <w:abstractNumId w:val="15"/>
  </w:num>
  <w:num w:numId="12">
    <w:abstractNumId w:val="0"/>
  </w:num>
  <w:num w:numId="13">
    <w:abstractNumId w:val="10"/>
  </w:num>
  <w:num w:numId="14">
    <w:abstractNumId w:val="2"/>
  </w:num>
  <w:num w:numId="15">
    <w:abstractNumId w:val="19"/>
  </w:num>
  <w:num w:numId="16">
    <w:abstractNumId w:val="11"/>
  </w:num>
  <w:num w:numId="17">
    <w:abstractNumId w:val="12"/>
  </w:num>
  <w:num w:numId="18">
    <w:abstractNumId w:val="4"/>
  </w:num>
  <w:num w:numId="19">
    <w:abstractNumId w:val="16"/>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21DB"/>
    <w:rsid w:val="000102F0"/>
    <w:rsid w:val="00041A10"/>
    <w:rsid w:val="00087690"/>
    <w:rsid w:val="000A7F59"/>
    <w:rsid w:val="00140C0E"/>
    <w:rsid w:val="00151FA5"/>
    <w:rsid w:val="0017009F"/>
    <w:rsid w:val="00180905"/>
    <w:rsid w:val="001F009A"/>
    <w:rsid w:val="002A1434"/>
    <w:rsid w:val="002E5309"/>
    <w:rsid w:val="003216BE"/>
    <w:rsid w:val="00385EF2"/>
    <w:rsid w:val="003C4806"/>
    <w:rsid w:val="003F22A9"/>
    <w:rsid w:val="00406D5D"/>
    <w:rsid w:val="00472B90"/>
    <w:rsid w:val="004D6C1A"/>
    <w:rsid w:val="004D7E16"/>
    <w:rsid w:val="004E6742"/>
    <w:rsid w:val="005264F4"/>
    <w:rsid w:val="005E6250"/>
    <w:rsid w:val="00617F9B"/>
    <w:rsid w:val="00623984"/>
    <w:rsid w:val="00625703"/>
    <w:rsid w:val="00702CB2"/>
    <w:rsid w:val="00721429"/>
    <w:rsid w:val="00743763"/>
    <w:rsid w:val="00755428"/>
    <w:rsid w:val="007560DE"/>
    <w:rsid w:val="00774999"/>
    <w:rsid w:val="00787424"/>
    <w:rsid w:val="007B3E4C"/>
    <w:rsid w:val="007F194C"/>
    <w:rsid w:val="0085364F"/>
    <w:rsid w:val="00893977"/>
    <w:rsid w:val="008B06BB"/>
    <w:rsid w:val="008E378F"/>
    <w:rsid w:val="009052AF"/>
    <w:rsid w:val="00951468"/>
    <w:rsid w:val="0096794A"/>
    <w:rsid w:val="0098419E"/>
    <w:rsid w:val="009D06EB"/>
    <w:rsid w:val="009E262E"/>
    <w:rsid w:val="009F7118"/>
    <w:rsid w:val="00A14DA8"/>
    <w:rsid w:val="00A33069"/>
    <w:rsid w:val="00AB7B48"/>
    <w:rsid w:val="00AF7D8A"/>
    <w:rsid w:val="00B32465"/>
    <w:rsid w:val="00B33962"/>
    <w:rsid w:val="00B5114F"/>
    <w:rsid w:val="00B61DE1"/>
    <w:rsid w:val="00C31E0B"/>
    <w:rsid w:val="00C921F2"/>
    <w:rsid w:val="00CA7E44"/>
    <w:rsid w:val="00DB5B9D"/>
    <w:rsid w:val="00DF6F53"/>
    <w:rsid w:val="00E74CE3"/>
    <w:rsid w:val="00E76D4E"/>
    <w:rsid w:val="00E821DB"/>
    <w:rsid w:val="00EA2EED"/>
    <w:rsid w:val="00EC0FE8"/>
    <w:rsid w:val="00F5544F"/>
    <w:rsid w:val="00F869A6"/>
    <w:rsid w:val="00FC52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FE829"/>
  <w15:chartTrackingRefBased/>
  <w15:docId w15:val="{3AFD88C9-3C51-4D89-B00F-7BF2EA6F6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F711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A7E4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B06B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96794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7118"/>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8B06BB"/>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8B06B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B06BB"/>
    <w:rPr>
      <w:b/>
      <w:bCs/>
    </w:rPr>
  </w:style>
  <w:style w:type="character" w:customStyle="1" w:styleId="Heading2Char">
    <w:name w:val="Heading 2 Char"/>
    <w:basedOn w:val="DefaultParagraphFont"/>
    <w:link w:val="Heading2"/>
    <w:uiPriority w:val="9"/>
    <w:rsid w:val="00CA7E44"/>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4D6C1A"/>
    <w:pPr>
      <w:ind w:left="720"/>
      <w:contextualSpacing/>
    </w:pPr>
  </w:style>
  <w:style w:type="character" w:customStyle="1" w:styleId="Heading4Char">
    <w:name w:val="Heading 4 Char"/>
    <w:basedOn w:val="DefaultParagraphFont"/>
    <w:link w:val="Heading4"/>
    <w:uiPriority w:val="9"/>
    <w:semiHidden/>
    <w:rsid w:val="0096794A"/>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478751">
      <w:bodyDiv w:val="1"/>
      <w:marLeft w:val="0"/>
      <w:marRight w:val="0"/>
      <w:marTop w:val="0"/>
      <w:marBottom w:val="0"/>
      <w:divBdr>
        <w:top w:val="none" w:sz="0" w:space="0" w:color="auto"/>
        <w:left w:val="none" w:sz="0" w:space="0" w:color="auto"/>
        <w:bottom w:val="none" w:sz="0" w:space="0" w:color="auto"/>
        <w:right w:val="none" w:sz="0" w:space="0" w:color="auto"/>
      </w:divBdr>
    </w:div>
    <w:div w:id="97256709">
      <w:bodyDiv w:val="1"/>
      <w:marLeft w:val="0"/>
      <w:marRight w:val="0"/>
      <w:marTop w:val="0"/>
      <w:marBottom w:val="0"/>
      <w:divBdr>
        <w:top w:val="none" w:sz="0" w:space="0" w:color="auto"/>
        <w:left w:val="none" w:sz="0" w:space="0" w:color="auto"/>
        <w:bottom w:val="none" w:sz="0" w:space="0" w:color="auto"/>
        <w:right w:val="none" w:sz="0" w:space="0" w:color="auto"/>
      </w:divBdr>
    </w:div>
    <w:div w:id="114376805">
      <w:bodyDiv w:val="1"/>
      <w:marLeft w:val="0"/>
      <w:marRight w:val="0"/>
      <w:marTop w:val="0"/>
      <w:marBottom w:val="0"/>
      <w:divBdr>
        <w:top w:val="none" w:sz="0" w:space="0" w:color="auto"/>
        <w:left w:val="none" w:sz="0" w:space="0" w:color="auto"/>
        <w:bottom w:val="none" w:sz="0" w:space="0" w:color="auto"/>
        <w:right w:val="none" w:sz="0" w:space="0" w:color="auto"/>
      </w:divBdr>
    </w:div>
    <w:div w:id="246765029">
      <w:bodyDiv w:val="1"/>
      <w:marLeft w:val="0"/>
      <w:marRight w:val="0"/>
      <w:marTop w:val="0"/>
      <w:marBottom w:val="0"/>
      <w:divBdr>
        <w:top w:val="none" w:sz="0" w:space="0" w:color="auto"/>
        <w:left w:val="none" w:sz="0" w:space="0" w:color="auto"/>
        <w:bottom w:val="none" w:sz="0" w:space="0" w:color="auto"/>
        <w:right w:val="none" w:sz="0" w:space="0" w:color="auto"/>
      </w:divBdr>
    </w:div>
    <w:div w:id="259412478">
      <w:bodyDiv w:val="1"/>
      <w:marLeft w:val="0"/>
      <w:marRight w:val="0"/>
      <w:marTop w:val="0"/>
      <w:marBottom w:val="0"/>
      <w:divBdr>
        <w:top w:val="none" w:sz="0" w:space="0" w:color="auto"/>
        <w:left w:val="none" w:sz="0" w:space="0" w:color="auto"/>
        <w:bottom w:val="none" w:sz="0" w:space="0" w:color="auto"/>
        <w:right w:val="none" w:sz="0" w:space="0" w:color="auto"/>
      </w:divBdr>
    </w:div>
    <w:div w:id="371880836">
      <w:bodyDiv w:val="1"/>
      <w:marLeft w:val="0"/>
      <w:marRight w:val="0"/>
      <w:marTop w:val="0"/>
      <w:marBottom w:val="0"/>
      <w:divBdr>
        <w:top w:val="none" w:sz="0" w:space="0" w:color="auto"/>
        <w:left w:val="none" w:sz="0" w:space="0" w:color="auto"/>
        <w:bottom w:val="none" w:sz="0" w:space="0" w:color="auto"/>
        <w:right w:val="none" w:sz="0" w:space="0" w:color="auto"/>
      </w:divBdr>
    </w:div>
    <w:div w:id="420684037">
      <w:bodyDiv w:val="1"/>
      <w:marLeft w:val="0"/>
      <w:marRight w:val="0"/>
      <w:marTop w:val="0"/>
      <w:marBottom w:val="0"/>
      <w:divBdr>
        <w:top w:val="none" w:sz="0" w:space="0" w:color="auto"/>
        <w:left w:val="none" w:sz="0" w:space="0" w:color="auto"/>
        <w:bottom w:val="none" w:sz="0" w:space="0" w:color="auto"/>
        <w:right w:val="none" w:sz="0" w:space="0" w:color="auto"/>
      </w:divBdr>
    </w:div>
    <w:div w:id="583224547">
      <w:bodyDiv w:val="1"/>
      <w:marLeft w:val="0"/>
      <w:marRight w:val="0"/>
      <w:marTop w:val="0"/>
      <w:marBottom w:val="0"/>
      <w:divBdr>
        <w:top w:val="none" w:sz="0" w:space="0" w:color="auto"/>
        <w:left w:val="none" w:sz="0" w:space="0" w:color="auto"/>
        <w:bottom w:val="none" w:sz="0" w:space="0" w:color="auto"/>
        <w:right w:val="none" w:sz="0" w:space="0" w:color="auto"/>
      </w:divBdr>
    </w:div>
    <w:div w:id="631056904">
      <w:bodyDiv w:val="1"/>
      <w:marLeft w:val="0"/>
      <w:marRight w:val="0"/>
      <w:marTop w:val="0"/>
      <w:marBottom w:val="0"/>
      <w:divBdr>
        <w:top w:val="none" w:sz="0" w:space="0" w:color="auto"/>
        <w:left w:val="none" w:sz="0" w:space="0" w:color="auto"/>
        <w:bottom w:val="none" w:sz="0" w:space="0" w:color="auto"/>
        <w:right w:val="none" w:sz="0" w:space="0" w:color="auto"/>
      </w:divBdr>
    </w:div>
    <w:div w:id="822115255">
      <w:bodyDiv w:val="1"/>
      <w:marLeft w:val="0"/>
      <w:marRight w:val="0"/>
      <w:marTop w:val="0"/>
      <w:marBottom w:val="0"/>
      <w:divBdr>
        <w:top w:val="none" w:sz="0" w:space="0" w:color="auto"/>
        <w:left w:val="none" w:sz="0" w:space="0" w:color="auto"/>
        <w:bottom w:val="none" w:sz="0" w:space="0" w:color="auto"/>
        <w:right w:val="none" w:sz="0" w:space="0" w:color="auto"/>
      </w:divBdr>
    </w:div>
    <w:div w:id="882211962">
      <w:bodyDiv w:val="1"/>
      <w:marLeft w:val="0"/>
      <w:marRight w:val="0"/>
      <w:marTop w:val="0"/>
      <w:marBottom w:val="0"/>
      <w:divBdr>
        <w:top w:val="none" w:sz="0" w:space="0" w:color="auto"/>
        <w:left w:val="none" w:sz="0" w:space="0" w:color="auto"/>
        <w:bottom w:val="none" w:sz="0" w:space="0" w:color="auto"/>
        <w:right w:val="none" w:sz="0" w:space="0" w:color="auto"/>
      </w:divBdr>
    </w:div>
    <w:div w:id="912161156">
      <w:bodyDiv w:val="1"/>
      <w:marLeft w:val="0"/>
      <w:marRight w:val="0"/>
      <w:marTop w:val="0"/>
      <w:marBottom w:val="0"/>
      <w:divBdr>
        <w:top w:val="none" w:sz="0" w:space="0" w:color="auto"/>
        <w:left w:val="none" w:sz="0" w:space="0" w:color="auto"/>
        <w:bottom w:val="none" w:sz="0" w:space="0" w:color="auto"/>
        <w:right w:val="none" w:sz="0" w:space="0" w:color="auto"/>
      </w:divBdr>
    </w:div>
    <w:div w:id="1002859205">
      <w:bodyDiv w:val="1"/>
      <w:marLeft w:val="0"/>
      <w:marRight w:val="0"/>
      <w:marTop w:val="0"/>
      <w:marBottom w:val="0"/>
      <w:divBdr>
        <w:top w:val="none" w:sz="0" w:space="0" w:color="auto"/>
        <w:left w:val="none" w:sz="0" w:space="0" w:color="auto"/>
        <w:bottom w:val="none" w:sz="0" w:space="0" w:color="auto"/>
        <w:right w:val="none" w:sz="0" w:space="0" w:color="auto"/>
      </w:divBdr>
    </w:div>
    <w:div w:id="1010445668">
      <w:bodyDiv w:val="1"/>
      <w:marLeft w:val="0"/>
      <w:marRight w:val="0"/>
      <w:marTop w:val="0"/>
      <w:marBottom w:val="0"/>
      <w:divBdr>
        <w:top w:val="none" w:sz="0" w:space="0" w:color="auto"/>
        <w:left w:val="none" w:sz="0" w:space="0" w:color="auto"/>
        <w:bottom w:val="none" w:sz="0" w:space="0" w:color="auto"/>
        <w:right w:val="none" w:sz="0" w:space="0" w:color="auto"/>
      </w:divBdr>
    </w:div>
    <w:div w:id="1071005719">
      <w:bodyDiv w:val="1"/>
      <w:marLeft w:val="0"/>
      <w:marRight w:val="0"/>
      <w:marTop w:val="0"/>
      <w:marBottom w:val="0"/>
      <w:divBdr>
        <w:top w:val="none" w:sz="0" w:space="0" w:color="auto"/>
        <w:left w:val="none" w:sz="0" w:space="0" w:color="auto"/>
        <w:bottom w:val="none" w:sz="0" w:space="0" w:color="auto"/>
        <w:right w:val="none" w:sz="0" w:space="0" w:color="auto"/>
      </w:divBdr>
    </w:div>
    <w:div w:id="1125346431">
      <w:bodyDiv w:val="1"/>
      <w:marLeft w:val="0"/>
      <w:marRight w:val="0"/>
      <w:marTop w:val="0"/>
      <w:marBottom w:val="0"/>
      <w:divBdr>
        <w:top w:val="none" w:sz="0" w:space="0" w:color="auto"/>
        <w:left w:val="none" w:sz="0" w:space="0" w:color="auto"/>
        <w:bottom w:val="none" w:sz="0" w:space="0" w:color="auto"/>
        <w:right w:val="none" w:sz="0" w:space="0" w:color="auto"/>
      </w:divBdr>
    </w:div>
    <w:div w:id="1234924155">
      <w:bodyDiv w:val="1"/>
      <w:marLeft w:val="0"/>
      <w:marRight w:val="0"/>
      <w:marTop w:val="0"/>
      <w:marBottom w:val="0"/>
      <w:divBdr>
        <w:top w:val="none" w:sz="0" w:space="0" w:color="auto"/>
        <w:left w:val="none" w:sz="0" w:space="0" w:color="auto"/>
        <w:bottom w:val="none" w:sz="0" w:space="0" w:color="auto"/>
        <w:right w:val="none" w:sz="0" w:space="0" w:color="auto"/>
      </w:divBdr>
    </w:div>
    <w:div w:id="1294097970">
      <w:bodyDiv w:val="1"/>
      <w:marLeft w:val="0"/>
      <w:marRight w:val="0"/>
      <w:marTop w:val="0"/>
      <w:marBottom w:val="0"/>
      <w:divBdr>
        <w:top w:val="none" w:sz="0" w:space="0" w:color="auto"/>
        <w:left w:val="none" w:sz="0" w:space="0" w:color="auto"/>
        <w:bottom w:val="none" w:sz="0" w:space="0" w:color="auto"/>
        <w:right w:val="none" w:sz="0" w:space="0" w:color="auto"/>
      </w:divBdr>
    </w:div>
    <w:div w:id="1360811992">
      <w:bodyDiv w:val="1"/>
      <w:marLeft w:val="0"/>
      <w:marRight w:val="0"/>
      <w:marTop w:val="0"/>
      <w:marBottom w:val="0"/>
      <w:divBdr>
        <w:top w:val="none" w:sz="0" w:space="0" w:color="auto"/>
        <w:left w:val="none" w:sz="0" w:space="0" w:color="auto"/>
        <w:bottom w:val="none" w:sz="0" w:space="0" w:color="auto"/>
        <w:right w:val="none" w:sz="0" w:space="0" w:color="auto"/>
      </w:divBdr>
    </w:div>
    <w:div w:id="1419909153">
      <w:bodyDiv w:val="1"/>
      <w:marLeft w:val="0"/>
      <w:marRight w:val="0"/>
      <w:marTop w:val="0"/>
      <w:marBottom w:val="0"/>
      <w:divBdr>
        <w:top w:val="none" w:sz="0" w:space="0" w:color="auto"/>
        <w:left w:val="none" w:sz="0" w:space="0" w:color="auto"/>
        <w:bottom w:val="none" w:sz="0" w:space="0" w:color="auto"/>
        <w:right w:val="none" w:sz="0" w:space="0" w:color="auto"/>
      </w:divBdr>
    </w:div>
    <w:div w:id="1427922151">
      <w:bodyDiv w:val="1"/>
      <w:marLeft w:val="0"/>
      <w:marRight w:val="0"/>
      <w:marTop w:val="0"/>
      <w:marBottom w:val="0"/>
      <w:divBdr>
        <w:top w:val="none" w:sz="0" w:space="0" w:color="auto"/>
        <w:left w:val="none" w:sz="0" w:space="0" w:color="auto"/>
        <w:bottom w:val="none" w:sz="0" w:space="0" w:color="auto"/>
        <w:right w:val="none" w:sz="0" w:space="0" w:color="auto"/>
      </w:divBdr>
    </w:div>
    <w:div w:id="1441415423">
      <w:bodyDiv w:val="1"/>
      <w:marLeft w:val="0"/>
      <w:marRight w:val="0"/>
      <w:marTop w:val="0"/>
      <w:marBottom w:val="0"/>
      <w:divBdr>
        <w:top w:val="none" w:sz="0" w:space="0" w:color="auto"/>
        <w:left w:val="none" w:sz="0" w:space="0" w:color="auto"/>
        <w:bottom w:val="none" w:sz="0" w:space="0" w:color="auto"/>
        <w:right w:val="none" w:sz="0" w:space="0" w:color="auto"/>
      </w:divBdr>
    </w:div>
    <w:div w:id="1720595367">
      <w:bodyDiv w:val="1"/>
      <w:marLeft w:val="0"/>
      <w:marRight w:val="0"/>
      <w:marTop w:val="0"/>
      <w:marBottom w:val="0"/>
      <w:divBdr>
        <w:top w:val="none" w:sz="0" w:space="0" w:color="auto"/>
        <w:left w:val="none" w:sz="0" w:space="0" w:color="auto"/>
        <w:bottom w:val="none" w:sz="0" w:space="0" w:color="auto"/>
        <w:right w:val="none" w:sz="0" w:space="0" w:color="auto"/>
      </w:divBdr>
    </w:div>
    <w:div w:id="1750542014">
      <w:bodyDiv w:val="1"/>
      <w:marLeft w:val="0"/>
      <w:marRight w:val="0"/>
      <w:marTop w:val="0"/>
      <w:marBottom w:val="0"/>
      <w:divBdr>
        <w:top w:val="none" w:sz="0" w:space="0" w:color="auto"/>
        <w:left w:val="none" w:sz="0" w:space="0" w:color="auto"/>
        <w:bottom w:val="none" w:sz="0" w:space="0" w:color="auto"/>
        <w:right w:val="none" w:sz="0" w:space="0" w:color="auto"/>
      </w:divBdr>
    </w:div>
    <w:div w:id="1762875711">
      <w:bodyDiv w:val="1"/>
      <w:marLeft w:val="0"/>
      <w:marRight w:val="0"/>
      <w:marTop w:val="0"/>
      <w:marBottom w:val="0"/>
      <w:divBdr>
        <w:top w:val="none" w:sz="0" w:space="0" w:color="auto"/>
        <w:left w:val="none" w:sz="0" w:space="0" w:color="auto"/>
        <w:bottom w:val="none" w:sz="0" w:space="0" w:color="auto"/>
        <w:right w:val="none" w:sz="0" w:space="0" w:color="auto"/>
      </w:divBdr>
    </w:div>
    <w:div w:id="1781097242">
      <w:bodyDiv w:val="1"/>
      <w:marLeft w:val="0"/>
      <w:marRight w:val="0"/>
      <w:marTop w:val="0"/>
      <w:marBottom w:val="0"/>
      <w:divBdr>
        <w:top w:val="none" w:sz="0" w:space="0" w:color="auto"/>
        <w:left w:val="none" w:sz="0" w:space="0" w:color="auto"/>
        <w:bottom w:val="none" w:sz="0" w:space="0" w:color="auto"/>
        <w:right w:val="none" w:sz="0" w:space="0" w:color="auto"/>
      </w:divBdr>
    </w:div>
    <w:div w:id="1858228384">
      <w:bodyDiv w:val="1"/>
      <w:marLeft w:val="0"/>
      <w:marRight w:val="0"/>
      <w:marTop w:val="0"/>
      <w:marBottom w:val="0"/>
      <w:divBdr>
        <w:top w:val="none" w:sz="0" w:space="0" w:color="auto"/>
        <w:left w:val="none" w:sz="0" w:space="0" w:color="auto"/>
        <w:bottom w:val="none" w:sz="0" w:space="0" w:color="auto"/>
        <w:right w:val="none" w:sz="0" w:space="0" w:color="auto"/>
      </w:divBdr>
    </w:div>
    <w:div w:id="1866404065">
      <w:bodyDiv w:val="1"/>
      <w:marLeft w:val="0"/>
      <w:marRight w:val="0"/>
      <w:marTop w:val="0"/>
      <w:marBottom w:val="0"/>
      <w:divBdr>
        <w:top w:val="none" w:sz="0" w:space="0" w:color="auto"/>
        <w:left w:val="none" w:sz="0" w:space="0" w:color="auto"/>
        <w:bottom w:val="none" w:sz="0" w:space="0" w:color="auto"/>
        <w:right w:val="none" w:sz="0" w:space="0" w:color="auto"/>
      </w:divBdr>
    </w:div>
    <w:div w:id="2070181258">
      <w:bodyDiv w:val="1"/>
      <w:marLeft w:val="0"/>
      <w:marRight w:val="0"/>
      <w:marTop w:val="0"/>
      <w:marBottom w:val="0"/>
      <w:divBdr>
        <w:top w:val="none" w:sz="0" w:space="0" w:color="auto"/>
        <w:left w:val="none" w:sz="0" w:space="0" w:color="auto"/>
        <w:bottom w:val="none" w:sz="0" w:space="0" w:color="auto"/>
        <w:right w:val="none" w:sz="0" w:space="0" w:color="auto"/>
      </w:divBdr>
    </w:div>
    <w:div w:id="2103144982">
      <w:bodyDiv w:val="1"/>
      <w:marLeft w:val="0"/>
      <w:marRight w:val="0"/>
      <w:marTop w:val="0"/>
      <w:marBottom w:val="0"/>
      <w:divBdr>
        <w:top w:val="none" w:sz="0" w:space="0" w:color="auto"/>
        <w:left w:val="none" w:sz="0" w:space="0" w:color="auto"/>
        <w:bottom w:val="none" w:sz="0" w:space="0" w:color="auto"/>
        <w:right w:val="none" w:sz="0" w:space="0" w:color="auto"/>
      </w:divBdr>
    </w:div>
    <w:div w:id="2118669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11</Pages>
  <Words>2219</Words>
  <Characters>12653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55</cp:revision>
  <dcterms:created xsi:type="dcterms:W3CDTF">2024-11-14T14:06:00Z</dcterms:created>
  <dcterms:modified xsi:type="dcterms:W3CDTF">2024-11-14T17:35:00Z</dcterms:modified>
</cp:coreProperties>
</file>