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Scheduling</w:t>
      </w:r>
      <w:r>
        <w:t xml:space="preserve"> </w:t>
      </w: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loads</w:t>
      </w:r>
      <w:r>
        <w:t xml:space="preserve"> </w:t>
      </w:r>
      <w:r>
        <w:t xml:space="preserve">to</w:t>
      </w:r>
      <w:r>
        <w:t xml:space="preserve"> </w:t>
      </w:r>
      <w:r>
        <w:t xml:space="preserve">reduce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emissions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</w:t>
      </w:r>
    </w:p>
    <w:p>
      <w:r>
        <w:pict>
          <v:rect style="width:0;height:1.5pt" o:hralign="center" o:hrstd="t" o:hr="t"/>
        </w:pic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CO2 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CO2 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CO2 (Norwegian Petroleum Directorate et al. 2020), and the CO2 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CO2 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CO2 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CO2 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CO2 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CO2 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CO2 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CO2 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CO2 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CO2 avoided per MWh of wind is the most demanding check, as it tests the</w:t>
      </w:r>
      <w:r>
        <w:t xml:space="preserve"> </w:t>
      </w:r>
      <w:r>
        <w:t xml:space="preserve">wind model, the part-load fuel model, the CO2 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CO2 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CO2 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CO2 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CO2 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CO2 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CO2 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CO2 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CO2 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CO2 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CO2 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CO2 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Scheduling flexible topside loads to reduce gas turbine emissions on a wind-powered offshore oil platform</dc:title>
  <dc:creator/>
  <cp:keywords/>
  <dcterms:created xsi:type="dcterms:W3CDTF">2026-10-28T17:17:56Z</dcterms:created>
  <dcterms:modified xsi:type="dcterms:W3CDTF">2026-10-28T17:17:56Z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