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</w:t>
      </w:r>
      <w:r>
        <w:t xml:space="preserve"> </w:t>
      </w:r>
      <w:r>
        <w:t xml:space="preserve">topside load as fixed. This paper maps the electric demand of a generic North</w:t>
      </w:r>
      <w:r>
        <w:t xml:space="preserve"> </w:t>
      </w:r>
      <w:r>
        <w:t xml:space="preserve">Sea oil platform from a process model, classifies each consumer as must-run,</w:t>
      </w:r>
      <w:r>
        <w:t xml:space="preserve"> </w:t>
      </w:r>
      <w:r>
        <w:t xml:space="preserve">flexible or sheddable, and schedules the flexible consumers together with the</w:t>
      </w:r>
      <w:r>
        <w:t xml:space="preserve"> </w:t>
      </w:r>
      <w:r>
        <w:t xml:space="preserve">gas turbines. A steady-state process model gives the power of each consumer</w:t>
      </w:r>
      <w:r>
        <w:t xml:space="preserve"> </w:t>
      </w:r>
      <w:r>
        <w:t xml:space="preserve">as a function of its operating lever. A mixed-integer linear program then schedules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hourly with ERA5 wind data. Postponed water injection</w:t>
      </w:r>
      <w:r>
        <w:t xml:space="preserve"> </w:t>
      </w:r>
      <w:r>
        <w:t xml:space="preserve">is represented as a virtual storage that must be caught up. For a 20.3 MW</w:t>
      </w:r>
      <w:r>
        <w:t xml:space="preserve"> </w:t>
      </w:r>
      <w:r>
        <w:t xml:space="preserve">platform with a 30 MW wind farm, wind with fixed demand reduces annual CO2</w:t>
      </w:r>
      <w:r>
        <w:t xml:space="preserve"> </w:t>
      </w:r>
      <w:r>
        <w:t xml:space="preserve">emissions by 49 %. Flexible scheduling cuts them by a further 11 %</w:t>
      </w:r>
      <w:r>
        <w:t xml:space="preserve"> </w:t>
      </w:r>
      <w:r>
        <w:t xml:space="preserve">(7.1 kt/yr) without any loss of production, mainly because it avoids running</w:t>
      </w:r>
      <w:r>
        <w:t xml:space="preserve"> </w:t>
      </w:r>
      <w:r>
        <w:t xml:space="preserve">a second gas turbine: the hours with two turbines online fall from 1,702 to</w:t>
      </w:r>
      <w:r>
        <w:t xml:space="preserve"> </w:t>
      </w:r>
      <w:r>
        <w:t xml:space="preserve">30. About 24 h of deferrable injection captures the full benefit; prices do</w:t>
      </w:r>
      <w:r>
        <w:t xml:space="preserve"> </w:t>
      </w:r>
      <w:r>
        <w:t xml:space="preserve">not change the schedule. Operating rules that keep two gas turbines online</w:t>
      </w:r>
      <w:r>
        <w:t xml:space="preserve"> </w:t>
      </w:r>
      <w:r>
        <w:t xml:space="preserve">remove most of the gain. The model reproduces the CO2 avoided per MWh of wind</w:t>
      </w:r>
      <w:r>
        <w:t xml:space="preserve"> </w:t>
      </w:r>
      <w:r>
        <w:t xml:space="preserve">reported for Hywind Tampen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 at hour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a gas turbine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electric power of a gas turbine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e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a gas turbine 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a gas turbine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 gas</w:t>
      </w:r>
      <w:r>
        <w:t xml:space="preserve"> </w:t>
      </w:r>
      <w:r>
        <w:t xml:space="preserve">emissions [1], and most of these emissions come from gas</w:t>
      </w:r>
      <w:r>
        <w:t xml:space="preserve"> </w:t>
      </w:r>
      <w:r>
        <w:t xml:space="preserve">turbines (GTs) that generate power and drive compressors on the offshore</w:t>
      </w:r>
      <w:r>
        <w:t xml:space="preserve"> </w:t>
      </w:r>
      <w:r>
        <w:t xml:space="preserve">installations [2]. Power from shore removes them where</w:t>
      </w:r>
      <w:r>
        <w:t xml:space="preserve"> </w:t>
      </w:r>
      <w:r>
        <w:t xml:space="preserve">a grid connection is feasible, but many installations are far from shore or</w:t>
      </w:r>
      <w:r>
        <w:t xml:space="preserve"> </w:t>
      </w:r>
      <w:r>
        <w:t xml:space="preserve">too small to justify a cable. For these, offshore wind connected to the</w:t>
      </w:r>
      <w:r>
        <w:t xml:space="preserve"> </w:t>
      </w:r>
      <w:r>
        <w:t xml:space="preserve">platform’s own power system is an alternative. The potential of this</w:t>
      </w:r>
      <w:r>
        <w:t xml:space="preserve"> </w:t>
      </w:r>
      <w:r>
        <w:t xml:space="preserve">combination was shown more than a decade ago [3,4], and</w:t>
      </w:r>
      <w:r>
        <w:t xml:space="preserve"> </w:t>
      </w:r>
      <w:r>
        <w:t xml:space="preserve">techno-economic studies have optimised the size of the wind farm and gas</w:t>
      </w:r>
      <w:r>
        <w:t xml:space="preserve"> </w:t>
      </w:r>
      <w:r>
        <w:t xml:space="preserve">turbine plant [5]. Hywind Tampen, an 88 MW floating wind farm</w:t>
      </w:r>
      <w:r>
        <w:t xml:space="preserve"> </w:t>
      </w:r>
      <w:r>
        <w:t xml:space="preserve">supplying five platforms in the Norwegian North Sea, has operated since 2023</w:t>
      </w:r>
      <w:r>
        <w:t xml:space="preserve"> </w:t>
      </w:r>
      <w:r>
        <w:t xml:space="preserve">and is expected to cover about 35 % of their electricity demand and avoid</w:t>
      </w:r>
      <w:r>
        <w:t xml:space="preserve"> </w:t>
      </w:r>
      <w:r>
        <w:t xml:space="preserve">about 200 kt of CO2 per year [6].</w:t>
      </w:r>
    </w:p>
    <w:p>
      <w:pPr>
        <w:pStyle w:val="BodyText"/>
      </w:pPr>
      <w:r>
        <w:t xml:space="preserve">On an off-grid platform, wind power saves less fuel than its energy suggests.</w:t>
      </w:r>
      <w:r>
        <w:t xml:space="preserve"> </w:t>
      </w:r>
      <w:r>
        <w:t xml:space="preserve">The wind turbines are usually grid-following, so at least one GT must stay</w:t>
      </w:r>
      <w:r>
        <w:t xml:space="preserve"> </w:t>
      </w:r>
      <w:r>
        <w:t xml:space="preserve">online for frequency and voltage control, and enough GT capacity must run to</w:t>
      </w:r>
      <w:r>
        <w:t xml:space="preserve"> </w:t>
      </w:r>
      <w:r>
        <w:t xml:space="preserve">cover a sudden loss of wind and the largest single load. When wind supplies</w:t>
      </w:r>
      <w:r>
        <w:t xml:space="preserve"> </w:t>
      </w:r>
      <w:r>
        <w:t xml:space="preserve">part of the demand, the GTs run at low load, where their efficiency falls</w:t>
      </w:r>
      <w:r>
        <w:t xml:space="preserve"> </w:t>
      </w:r>
      <w:r>
        <w:t xml:space="preserve">steeply: the efficiency of a typical aeroderivative turbine drops from about</w:t>
      </w:r>
      <w:r>
        <w:t xml:space="preserve"> </w:t>
      </w:r>
      <w:r>
        <w:t xml:space="preserve">35 % at full load to below 20 % near minimum stable load [7]. The</w:t>
      </w:r>
      <w:r>
        <w:t xml:space="preserve"> </w:t>
      </w:r>
      <w:r>
        <w:t xml:space="preserve">fuel saved per MWh of wind is therefore limited by how the remaining GT</w:t>
      </w:r>
      <w:r>
        <w:t xml:space="preserve"> </w:t>
      </w:r>
      <w:r>
        <w:t xml:space="preserve">capacity has to be operated, and much of the wind energy is curtailed when it</w:t>
      </w:r>
      <w:r>
        <w:t xml:space="preserve"> </w:t>
      </w:r>
      <w:r>
        <w:t xml:space="preserve">exceeds what the platform can absorb.</w:t>
      </w:r>
    </w:p>
    <w:p>
      <w:pPr>
        <w:pStyle w:val="BodyText"/>
      </w:pPr>
      <w:r>
        <w:t xml:space="preserve">Operational optimisation can recover part of this loss. The open-source tool</w:t>
      </w:r>
      <w:r>
        <w:t xml:space="preserve"> </w:t>
      </w:r>
      <w:r>
        <w:t xml:space="preserve">Oogeso optimises GT commitment, wind use and storage on platforms, and shows</w:t>
      </w:r>
      <w:r>
        <w:t xml:space="preserve"> </w:t>
      </w:r>
      <w:r>
        <w:t xml:space="preserve">that a battery that provides reserve lets one turbine be switched off and the</w:t>
      </w:r>
      <w:r>
        <w:t xml:space="preserve"> </w:t>
      </w:r>
      <w:r>
        <w:t xml:space="preserve">remaining turbines run more efficiently [8]. The Low Emission Oil</w:t>
      </w:r>
      <w:r>
        <w:t xml:space="preserve"> </w:t>
      </w:r>
      <w:r>
        <w:t xml:space="preserve">and Gas Open (LEOGO) reference platform provides a common data set for such</w:t>
      </w:r>
      <w:r>
        <w:t xml:space="preserve"> </w:t>
      </w:r>
      <w:r>
        <w:t xml:space="preserve">studies [7]. Planning models for offshore energy hubs choose</w:t>
      </w:r>
      <w:r>
        <w:t xml:space="preserve"> </w:t>
      </w:r>
      <w:r>
        <w:t xml:space="preserve">investments in wind, storage and cables to meet emission targets</w:t>
      </w:r>
      <w:r>
        <w:t xml:space="preserve"> </w:t>
      </w:r>
      <w:r>
        <w:t xml:space="preserve">[9], and power-system studies have examined how relaxing GT</w:t>
      </w:r>
      <w:r>
        <w:t xml:space="preserve"> </w:t>
      </w:r>
      <w:r>
        <w:t xml:space="preserve">operating constraints lets the platform absorb more wind [10].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[8]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[11].</w:t>
      </w:r>
      <w:r>
        <w:t xml:space="preserve"> </w:t>
      </w:r>
      <w:r>
        <w:t xml:space="preserve">It can be postponed for hours as long as the average injection meets the</w:t>
      </w:r>
      <w:r>
        <w:t xml:space="preserve"> </w:t>
      </w:r>
      <w:r>
        <w:t xml:space="preserve">reservoir’s needs. Production can be reduced, at the cost of lost revenue. Other loads,</w:t>
      </w:r>
      <w:r>
        <w:t xml:space="preserve"> </w:t>
      </w:r>
      <w:r>
        <w:t xml:space="preserve">such as utilities and safety systems, must run at all times. How much</w:t>
      </w:r>
      <w:r>
        <w:t xml:space="preserve"> </w:t>
      </w:r>
      <w:r>
        <w:t xml:space="preserve">flexibility these consumers offer, and what it is worth, depends on</w:t>
      </w:r>
      <w:r>
        <w:t xml:space="preserve"> </w:t>
      </w:r>
      <w:r>
        <w:t xml:space="preserve">equipment limits that a fixed load profile hides: parallel trains,</w:t>
      </w:r>
      <w:r>
        <w:t xml:space="preserve"> </w:t>
      </w:r>
      <w:r>
        <w:t xml:space="preserve">minimum-flow recycle on compressors and pumps, ramp limits, and the</w:t>
      </w:r>
      <w:r>
        <w:t xml:space="preserve"> </w:t>
      </w:r>
      <w:r>
        <w:t xml:space="preserve">requirement to catch up postponed injection.</w:t>
      </w:r>
    </w:p>
    <w:p>
      <w:pPr>
        <w:pStyle w:val="BodyText"/>
      </w:pPr>
      <w:r>
        <w:t xml:space="preserve">This paper quantifies the value of scheduling flexible topside consumers on</w:t>
      </w:r>
      <w:r>
        <w:t xml:space="preserve"> </w:t>
      </w:r>
      <w:r>
        <w:t xml:space="preserve">a wind-powered oil platform.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with sensitivity analysis on the assumptions that drive the</w:t>
      </w:r>
      <w:r>
        <w:t xml:space="preserve"> </w:t>
      </w:r>
      <w:r>
        <w:t xml:space="preserve">result, and validation against Hywind Tampen and reported field data.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3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 hourly</w:t>
      </w:r>
      <w:r>
        <w:t xml:space="preserve"> </w:t>
      </w:r>
      <w:r>
        <w:t xml:space="preserve">resolution (Fig. 1). Power is supplied by three GTs and, in the wind cases,</w:t>
      </w:r>
      <w:r>
        <w:t xml:space="preserve"> </w:t>
      </w:r>
      <w:r>
        <w:t xml:space="preserve">by a nearby two-turbine offshore wind farm.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Process behaviour is represented</w:t>
      </w:r>
      <w:r>
        <w:t xml:space="preserve"> </w:t>
      </w:r>
      <w:r>
        <w:t xml:space="preserve">by steady-state operating points with ramp limits; transient process</w:t>
      </w:r>
      <w:r>
        <w:t xml:space="preserve"> </w:t>
      </w:r>
      <w:r>
        <w:t xml:space="preserve">dynamics are outside the scope. The model is written in Python with NeqSim</w:t>
      </w:r>
      <w:r>
        <w:t xml:space="preserve"> </w:t>
      </w:r>
      <w:r>
        <w:t xml:space="preserve">for thermodynamics and process simulation [12] and Pyomo with the HiGHS</w:t>
      </w:r>
      <w:r>
        <w:t xml:space="preserve"> </w:t>
      </w:r>
      <w:r>
        <w:t xml:space="preserve">solver for optimisation [13,14]. Every parameter is stored</w:t>
      </w:r>
      <w:r>
        <w:t xml:space="preserve"> </w:t>
      </w:r>
      <w:r>
        <w:t xml:space="preserve">in a single configuration file with its unit and source; 29 of 101 parameters</w:t>
      </w:r>
      <w:r>
        <w:t xml:space="preserve"> </w:t>
      </w:r>
      <w:r>
        <w:t xml:space="preserve">are marked as assumptions (Table S1).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wind components at 100 m were taken from the ERA5 reanalysis</w:t>
      </w:r>
      <w:r>
        <w:t xml:space="preserve"> </w:t>
      </w:r>
      <w:r>
        <w:t xml:space="preserve">[15] and extrapolated to the 150 m hub height with a 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[16].</w:t>
      </w:r>
      <w:r>
        <w:t xml:space="preserve"> </w:t>
      </w:r>
      <w:r>
        <w:t xml:space="preserve">Turbine power follows the IEA 15 MW reference turbine [17]. The</w:t>
      </w:r>
      <w:r>
        <w:t xml:space="preserve"> </w:t>
      </w:r>
      <w:r>
        <w:t xml:space="preserve">base-case farm of two turbines (30 MW) is of the same order as the 32 MW farm</w:t>
      </w:r>
      <w:r>
        <w:t xml:space="preserve"> </w:t>
      </w:r>
      <w:r>
        <w:t xml:space="preserve">of the LEOGO platform [7]. Wake losses (5 %), electrical losses</w:t>
      </w:r>
      <w:r>
        <w:t xml:space="preserve"> </w:t>
      </w:r>
      <w:r>
        <w:t xml:space="preserve">(2 %) and availability (95 %) give a combined factor of 0.884, so the farm</w:t>
      </w:r>
      <w:r>
        <w:t xml:space="preserve"> </w:t>
      </w:r>
      <w:r>
        <w:t xml:space="preserve">delivers at most 26.5 MW.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[7]: 21.8 MW rated</w:t>
      </w:r>
      <w:r>
        <w:t xml:space="preserve"> </w:t>
      </w:r>
      <w:r>
        <w:t xml:space="preserve">electric power and 3.5 MW minimum stable load. Fuel input is linear in</w:t>
      </w:r>
      <w:r>
        <w:t xml:space="preserve"> </w:t>
      </w:r>
      <w:r>
        <w:t xml:space="preserve">electric output (a Willans line),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derived from the LEOGO fuel</w:t>
      </w:r>
      <w:r>
        <w:t xml:space="preserve"> </w:t>
      </w:r>
      <w:r>
        <w:t xml:space="preserve">coefficients. Efficiency therefore falls from 34.7 % at full load to 29.3 %</w:t>
      </w:r>
      <w:r>
        <w:t xml:space="preserve"> </w:t>
      </w:r>
      <w:r>
        <w:t xml:space="preserve">at half load and 17.7 % at minimum load (Fig. S2). Half of the exhaust heat</w:t>
      </w:r>
      <w:r>
        <w:t xml:space="preserve"> </w:t>
      </w:r>
      <w:r>
        <w:t xml:space="preserve">not converted to power is recovered for process heating. The lower heating</w:t>
      </w:r>
      <w:r>
        <w:t xml:space="preserve"> </w:t>
      </w:r>
      <w:r>
        <w:t xml:space="preserve">value of the fuel gas (38.96 MJ/Sm³) was computed with NeqSim to ISO 6976</w:t>
      </w:r>
      <w:r>
        <w:t xml:space="preserve"> </w:t>
      </w:r>
      <w:r>
        <w:t xml:space="preserve">[18]. CO2 emissions use the Norwegian standard factor of 2.34 kg/Sm³</w:t>
      </w:r>
      <w:r>
        <w:t xml:space="preserve"> </w:t>
      </w:r>
      <w:r>
        <w:t xml:space="preserve">[7].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The</w:t>
      </w:r>
      <w:r>
        <w:t xml:space="preserve"> </w:t>
      </w:r>
      <w:r>
        <w:t xml:space="preserve">flowsheet comprises four-stage separation at 70 / 29 / 7.2 / 1.8 bara</w:t>
      </w:r>
      <w:r>
        <w:t xml:space="preserve"> </w:t>
      </w:r>
      <w:r>
        <w:t xml:space="preserve">[11], with the last stage within the 1.7–2.8 bar found on four real</w:t>
      </w:r>
      <w:r>
        <w:t xml:space="preserve"> </w:t>
      </w:r>
      <w:r>
        <w:t xml:space="preserve">North Sea platforms [19]. It also includes recompression with</w:t>
      </w:r>
      <w:r>
        <w:t xml:space="preserve"> </w:t>
      </w:r>
      <w:r>
        <w:t xml:space="preserve">intercooling, gas export compression to 180 bara, oil export pumping, water</w:t>
      </w:r>
      <w:r>
        <w:t xml:space="preserve"> </w:t>
      </w:r>
      <w:r>
        <w:t xml:space="preserve">injection from 7 to 250 bara, seawater lift for cooling and injection make-up</w:t>
      </w:r>
      <w:r>
        <w:t xml:space="preserve"> </w:t>
      </w:r>
      <w:r>
        <w:t xml:space="preserve">(seawater properties from [20]), and a fixed utility load of</w:t>
      </w:r>
      <w:r>
        <w:t xml:space="preserve"> </w:t>
      </w:r>
      <w:r>
        <w:t xml:space="preserve">3.5 MW. Gas export pressure agrees with the 179 bar reported for a real</w:t>
      </w:r>
      <w:r>
        <w:t xml:space="preserve"> </w:t>
      </w:r>
      <w:r>
        <w:t xml:space="preserve">platform [19]. At the design point of 15,000 Sm³/d oil, a</w:t>
      </w:r>
      <w:r>
        <w:t xml:space="preserve"> </w:t>
      </w:r>
      <w:r>
        <w:t xml:space="preserve">gas–oil ratio of 179 Sm³/Sm³, a water cut of 40 % and 25,000 m³/d water</w:t>
      </w:r>
      <w:r>
        <w:t xml:space="preserve"> </w:t>
      </w:r>
      <w:r>
        <w:t xml:space="preserve">injection, the electric demand is 20.3 MW 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is therefore set by equipment limits: each</w:t>
      </w:r>
      <w:r>
        <w:t xml:space="preserve"> </w:t>
      </w:r>
      <w:r>
        <w:t xml:space="preserve">consumer has parallel trains that can be switched off at low flow, and a</w:t>
      </w:r>
      <w:r>
        <w:t xml:space="preserve"> </w:t>
      </w:r>
      <w:r>
        <w:t xml:space="preserve">minimum flow per train below which it recycles (anti-surge recycle for</w:t>
      </w:r>
      <w:r>
        <w:t xml:space="preserve"> </w:t>
      </w:r>
      <w:r>
        <w:t xml:space="preserve">compressors, minimum-flow recirculation for pumps). The minimum flow is 70 %</w:t>
      </w:r>
      <w:r>
        <w:t xml:space="preserve"> </w:t>
      </w:r>
      <w:r>
        <w:t xml:space="preserve">for compressors and 30 % for pumps. Anti-surge recycle rates of 4–92 % have</w:t>
      </w:r>
      <w:r>
        <w:t xml:space="preserve"> </w:t>
      </w:r>
      <w:r>
        <w:t xml:space="preserve">been reported on real North Sea compressor trains [19].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 caught</w:t>
      </w:r>
      <w:r>
        <w:t xml:space="preserve"> </w:t>
      </w:r>
      <w:r>
        <w:t xml:space="preserve">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built from the trains and minimum flows (Fig. 2). Production can be turned</w:t>
      </w:r>
      <w:r>
        <w:t xml:space="preserve"> </w:t>
      </w:r>
      <w:r>
        <w:t xml:space="preserve">down to 50 % and changed by at most 10 % of design per hour. Injection can</w:t>
      </w:r>
      <w:r>
        <w:t xml:space="preserve"> </w:t>
      </w:r>
      <w:r>
        <w:t xml:space="preserve">vary between 0 and 100 % of pump capacity, by at most 34 % per hour (about</w:t>
      </w:r>
      <w:r>
        <w:t xml:space="preserve"> </w:t>
      </w:r>
      <w:r>
        <w:t xml:space="preserve">one pump), and its average must meet a voidage-replacement target of 85 % of</w:t>
      </w:r>
      <w:r>
        <w:t xml:space="preserve"> </w:t>
      </w:r>
      <w:r>
        <w:t xml:space="preserve">capacity. This is modelled as a virtual storage: postponing injection builds</w:t>
      </w:r>
      <w:r>
        <w:t xml:space="preserve"> </w:t>
      </w:r>
      <w:r>
        <w:t xml:space="preserve">a deficit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deficit limit represents how much injection the</w:t>
      </w:r>
      <w:r>
        <w:t xml:space="preserve"> </w:t>
      </w:r>
      <w:r>
        <w:t xml:space="preserve">reservoir tolerates being postponed. It is uncertain and is varied from 0 to</w:t>
      </w:r>
      <w:r>
        <w:t xml:space="preserve"> </w:t>
      </w:r>
      <w:r>
        <w:t xml:space="preserve">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a mixed-integer linear program. Its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 each GT, the wind power used</w:t>
      </w:r>
      <w:r>
        <w:t xml:space="preserve"> </w:t>
      </w:r>
      <w:r>
        <w:t xml:space="preserve">(the rest is curtailed), electric heater power and, in case 4, battery</w:t>
      </w:r>
      <w:r>
        <w:t xml:space="preserve"> </w:t>
      </w:r>
      <w:r>
        <w:t xml:space="preserve">charge and discharge. The constraints are:</w:t>
      </w:r>
    </w:p>
    <w:p>
      <w:pPr>
        <w:numPr>
          <w:ilvl w:val="0"/>
          <w:numId w:val="1004"/>
        </w:numPr>
        <w:pStyle w:val="Compact"/>
      </w:pPr>
      <w:r>
        <w:t xml:space="preserve">power balance: GT power, wind used and battery discharge equal platform</w:t>
      </w:r>
      <w:r>
        <w:t xml:space="preserve"> </w:t>
      </w:r>
      <w:r>
        <w:t xml:space="preserve">demand, electric heater and battery charge;</w:t>
      </w:r>
    </w:p>
    <w:p>
      <w:pPr>
        <w:numPr>
          <w:ilvl w:val="0"/>
          <w:numId w:val="1004"/>
        </w:numPr>
        <w:pStyle w:val="Compact"/>
      </w:pPr>
      <w:r>
        <w:t xml:space="preserve">heat balance: recovered exhaust heat plus electric heating covers the</w:t>
      </w:r>
      <w:r>
        <w:t xml:space="preserve"> </w:t>
      </w:r>
      <w:r>
        <w:t xml:space="preserve">3 MW heat demand;</w:t>
      </w:r>
    </w:p>
    <w:p>
      <w:pPr>
        <w:numPr>
          <w:ilvl w:val="0"/>
          <w:numId w:val="1004"/>
        </w:numPr>
        <w:pStyle w:val="Compact"/>
      </w:pPr>
      <w:r>
        <w:t xml:space="preserve">GT limits: minimum and rated load when running, the Willans fuel line and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t xml:space="preserve">spinning reserve: unused capacity of running GTs plus battery reserve of</w:t>
      </w:r>
      <w:r>
        <w:t xml:space="preserve"> </w:t>
      </w:r>
      <w:r>
        <w:t xml:space="preserve">at least 5 MW [7]; a battery counts only if it can sustain the</w:t>
      </w:r>
      <w:r>
        <w:t xml:space="preserve"> </w:t>
      </w:r>
      <w:r>
        <w:t xml:space="preserve">reserve for 30 min;</w:t>
      </w:r>
    </w:p>
    <w:p>
      <w:pPr>
        <w:numPr>
          <w:ilvl w:val="0"/>
          <w:numId w:val="1004"/>
        </w:numPr>
        <w:pStyle w:val="Compact"/>
      </w:pPr>
      <w:r>
        <w:t xml:space="preserve">at least one GT online, because the wind turbines are grid-following;</w:t>
      </w:r>
    </w:p>
    <w:p>
      <w:pPr>
        <w:numPr>
          <w:ilvl w:val="0"/>
          <w:numId w:val="1004"/>
        </w:numPr>
        <w:pStyle w:val="Compact"/>
      </w:pPr>
      <w:r>
        <w:t xml:space="preserve">the lever power curves, ramp limits and injection deficit of Section 2.5,</w:t>
      </w:r>
      <w:r>
        <w:t xml:space="preserve"> </w:t>
      </w:r>
      <w:r>
        <w:t xml:space="preserve">and the battery energy balance (round-trip efficiency 0.9).</w:t>
      </w:r>
    </w:p>
    <w:p>
      <w:pPr>
        <w:pStyle w:val="FirstParagraph"/>
      </w:pPr>
      <w:r>
        <w:t xml:space="preserve">The objective minimises, in NOK, the value of fuel gas burned</w:t>
      </w:r>
      <w:r>
        <w:t xml:space="preserve"> </w:t>
      </w:r>
      <w:r>
        <w:t xml:space="preserve">(4.19 NOK/Sm³, since fuel gas could otherwise be sold), the CO2 cost</w:t>
      </w:r>
      <w:r>
        <w:t xml:space="preserve"> </w:t>
      </w:r>
      <w:r>
        <w:t xml:space="preserve">(2.0 NOK/kg, the Norwegian target for the total CO2 price in 2030</w:t>
      </w:r>
      <w:r>
        <w:t xml:space="preserve"> </w:t>
      </w:r>
      <w:r>
        <w:t xml:space="preserve">[21]), the value of lost oil and gas (4,190 NOK/Sm³ oil) and a</w:t>
      </w:r>
      <w:r>
        <w:t xml:space="preserve"> </w:t>
      </w:r>
      <w:r>
        <w:t xml:space="preserve">start-up cost of 2,000 NOK per GT start [7]. Unserved energy and</w:t>
      </w:r>
      <w:r>
        <w:t xml:space="preserve"> </w:t>
      </w:r>
      <w:r>
        <w:t xml:space="preserve">missing reserve are allowed only with a penalty of 10⁶ NOK/MWh, to keep the</w:t>
      </w:r>
      <w:r>
        <w:t xml:space="preserve"> </w:t>
      </w:r>
      <w:r>
        <w:t xml:space="preserve">problem feasible; in all reported runs they are below 0.03 MWh/yr.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look-ahead. At the end of each look-ahead horizon the injection deficit</w:t>
      </w:r>
      <w:r>
        <w:t xml:space="preserve"> </w:t>
      </w:r>
      <w:r>
        <w:t xml:space="preserve">may not exceed, and the battery energy may not fall below, their values at</w:t>
      </w:r>
      <w:r>
        <w:t xml:space="preserve"> </w:t>
      </w:r>
      <w:r>
        <w:t xml:space="preserve">the window start. The solver stops within 0.5 % of the proven optimum, and a</w:t>
      </w:r>
      <w:r>
        <w:t xml:space="preserve"> </w:t>
      </w:r>
      <w:r>
        <w:t xml:space="preserve">case-year takes 2–3 min on a laptop-class processor. Because fuel is linear</w:t>
      </w:r>
      <w:r>
        <w:t xml:space="preserve"> </w:t>
      </w:r>
      <w:r>
        <w:t xml:space="preserve">in power, the split of load between identical running GTs does not change</w:t>
      </w:r>
      <w:r>
        <w:t xml:space="preserve"> </w:t>
      </w:r>
      <w:r>
        <w:t xml:space="preserve">fuel use. GT load is therefore reported as shared in proportion to rating,</w:t>
      </w:r>
      <w:r>
        <w:t xml:space="preserve"> </w:t>
      </w:r>
      <w:r>
        <w:t xml:space="preserve">as in droop control, and an hour counts as low-load when this shared load is</w:t>
      </w:r>
      <w:r>
        <w:t xml:space="preserve"> </w:t>
      </w:r>
      <w:r>
        <w:t xml:space="preserve">below 50 % of rating.</w:t>
      </w:r>
    </w:p>
    <w:bookmarkEnd w:id="31"/>
    <w:bookmarkStart w:id="32" w:name="sensitivity-analysis-and-validation"/>
    <w:p>
      <w:pPr>
        <w:pStyle w:val="Heading3"/>
      </w:pPr>
      <w:r>
        <w:t xml:space="preserve">2.7 Sensitivity analysis and validation</w:t>
      </w:r>
    </w:p>
    <w:p>
      <w:pPr>
        <w:pStyle w:val="FirstParagraph"/>
      </w:pPr>
      <w:r>
        <w:t xml:space="preserve">Cases 2–4 were rerun with one input changed at a 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(0–168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battery);</w:t>
      </w:r>
    </w:p>
    <w:p>
      <w:pPr>
        <w:numPr>
          <w:ilvl w:val="0"/>
          <w:numId w:val="1005"/>
        </w:numPr>
        <w:pStyle w:val="Compact"/>
      </w:pPr>
      <w:r>
        <w:t xml:space="preserve">GT fleet (two of the three main units plus one smaller unit);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[19,22], six modelled platforms [11], the</w:t>
      </w:r>
      <w:r>
        <w:t xml:space="preserve"> </w:t>
      </w:r>
      <w:r>
        <w:t xml:space="preserve">Johan Castberg development plan [23], and the demand implied by</w:t>
      </w:r>
      <w:r>
        <w:t xml:space="preserve"> </w:t>
      </w:r>
      <w:r>
        <w:t xml:space="preserve">Hywind Tampen [6];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[6,24];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[6];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water-injection specific energy:</w:t>
      </w:r>
      <w:r>
        <w:t xml:space="preserve"> </w:t>
      </w:r>
      <w:r>
        <w:t xml:space="preserve">LEOGO [7];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[25];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emissions and fuel use from Norskeutslipp [26] and</w:t>
      </w:r>
      <w:r>
        <w:t xml:space="preserve"> </w:t>
      </w:r>
      <w:r>
        <w:t xml:space="preserve">production from the Norwegian Offshore Directorate [27].</w:t>
      </w:r>
    </w:p>
    <w:p>
      <w:pPr>
        <w:pStyle w:val="FirstParagraph"/>
      </w:pPr>
      <w:r>
        <w:t xml:space="preserve">A single value counts as agreeing when the model is within ±20 %; a range</w:t>
      </w:r>
      <w:r>
        <w:t xml:space="preserve"> </w:t>
      </w:r>
      <w:r>
        <w:t xml:space="preserve">when the model lies inside it.</w:t>
      </w:r>
    </w:p>
    <w:bookmarkEnd w:id="32"/>
    <w:bookmarkEnd w:id="33"/>
    <w:bookmarkStart w:id="60" w:name="results"/>
    <w:p>
      <w:pPr>
        <w:pStyle w:val="Heading2"/>
      </w:pPr>
      <w:r>
        <w:t xml:space="preserve">3 Results</w:t>
      </w:r>
    </w:p>
    <w:bookmarkStart w:id="37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 demand)</w:t>
      </w:r>
      <w:r>
        <w:t xml:space="preserve"> </w:t>
      </w:r>
      <w:r>
        <w:t xml:space="preserve">and the only large deferrable one (Table 1, Fig. 2). Stopping injection at</w:t>
      </w:r>
      <w:r>
        <w:t xml:space="preserve"> </w:t>
      </w:r>
      <w:r>
        <w:t xml:space="preserve">full production lowers demand from 20.3 MW to 10.7 MW, a swing of 9.6 MW that</w:t>
      </w:r>
      <w:r>
        <w:t xml:space="preserve"> </w:t>
      </w:r>
      <w:r>
        <w:t xml:space="preserve">costs no production as long as the injection is caught up. The production</w:t>
      </w:r>
      <w:r>
        <w:t xml:space="preserve"> </w:t>
      </w:r>
      <w:r>
        <w:t xml:space="preserve">lever has a step just above 50 % rate, where the second export compressor</w:t>
      </w:r>
      <w:r>
        <w:t xml:space="preserve"> </w:t>
      </w:r>
      <w:r>
        <w:t xml:space="preserve">train must start at its surge limit.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5" name="Picture"/>
            <a:graphic>
              <a:graphicData uri="http://schemas.openxmlformats.org/drawingml/2006/picture">
                <pic:pic>
                  <pic:nvPicPr>
                    <pic:cNvPr descr="results/paper/fig02_demand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9.8 m/s at hub height and a capacity factor</w:t>
      </w:r>
      <w:r>
        <w:t xml:space="preserve"> </w:t>
      </w:r>
      <w:r>
        <w:t xml:space="preserve">of 50.9 % for the 30 MW farm in 2023 (Fig. S1). Output is seasonal (63–68 %</w:t>
      </w:r>
      <w:r>
        <w:t xml:space="preserve"> </w:t>
      </w:r>
      <w:r>
        <w:t xml:space="preserve">in January–February, 36–37 % in June–August). The farm delivers its maximum</w:t>
      </w:r>
      <w:r>
        <w:t xml:space="preserve"> </w:t>
      </w:r>
      <w:r>
        <w:t xml:space="preserve">in 40 % of the hours and nothing in 9.6 %, and available wind exceeds the</w:t>
      </w:r>
      <w:r>
        <w:t xml:space="preserve"> </w:t>
      </w:r>
      <w:r>
        <w:t xml:space="preserve">design demand in 4,017 h.</w:t>
      </w:r>
    </w:p>
    <w:bookmarkEnd w:id="37"/>
    <w:bookmarkStart w:id="41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GTs only, two turbines run in every hour to carry the load and the</w:t>
      </w:r>
      <w:r>
        <w:t xml:space="preserve"> </w:t>
      </w:r>
      <w:r>
        <w:t xml:space="preserve">5 MW reserve, each at about 43 % load. The platform burns 54.6 MSm³ of fuel</w:t>
      </w:r>
      <w:r>
        <w:t xml:space="preserve"> </w:t>
      </w:r>
      <w:r>
        <w:t xml:space="preserve">gas and emits 127.7 kt CO2 per year (Table 2, Fig. 3). A 30 MW wind farm</w:t>
      </w:r>
      <w:r>
        <w:t xml:space="preserve"> </w:t>
      </w:r>
      <w:r>
        <w:t xml:space="preserve">with fixed demand halves the emissions to 64.7 kt (−49.4 %). Because demand</w:t>
      </w:r>
      <w:r>
        <w:t xml:space="preserve"> </w:t>
      </w:r>
      <w:r>
        <w:t xml:space="preserve">cannot follow the wind, 44.5 GWh (33 % of the available wind energy) is</w:t>
      </w:r>
      <w:r>
        <w:t xml:space="preserve"> </w:t>
      </w:r>
      <w:r>
        <w:t xml:space="preserve">curtailed, and a second GT is still needed in 1,702 h, with 149 starts.</w:t>
      </w:r>
    </w:p>
    <w:p>
      <w:pPr>
        <w:pStyle w:val="BodyText"/>
      </w:pPr>
      <w:r>
        <w:t xml:space="preserve">Flexible scheduling (case 3) reduces CO2 by a further 7.1 kt/yr, 11.0 %</w:t>
      </w:r>
      <w:r>
        <w:t xml:space="preserve"> </w:t>
      </w:r>
      <w:r>
        <w:t xml:space="preserve">relative to case 2, without any loss of production. GT low-load unit-hours</w:t>
      </w:r>
      <w:r>
        <w:t xml:space="preserve"> </w:t>
      </w:r>
      <w:r>
        <w:t xml:space="preserve">fall by 34 %, GT starts from 149 to 6 and curtailment by 13 %, and the</w:t>
      </w:r>
      <w:r>
        <w:t xml:space="preserve"> </w:t>
      </w:r>
      <w:r>
        <w:t xml:space="preserve">combined fuel value and CO2 cost falls by 27 MNOK/yr. A 4 MW / 4 MWh battery</w:t>
      </w:r>
      <w:r>
        <w:t xml:space="preserve"> </w:t>
      </w:r>
      <w:r>
        <w:t xml:space="preserve">(case 4) adds only 0.4 kt: it removes the remaining starts, but with one GT</w:t>
      </w:r>
      <w:r>
        <w:t xml:space="preserve"> </w:t>
      </w:r>
      <w:r>
        <w:t xml:space="preserve">always online it cannot remove the main remaining loss, one turbine idling</w:t>
      </w:r>
      <w:r>
        <w:t xml:space="preserve"> </w:t>
      </w:r>
      <w:r>
        <w:t xml:space="preserve">near 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39" name="Picture"/>
            <a:graphic>
              <a:graphicData uri="http://schemas.openxmlformats.org/drawingml/2006/picture">
                <pic:pic>
                  <pic:nvPicPr>
                    <pic:cNvPr descr="results/paper/fig04_cas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1"/>
    <w:bookmarkStart w:id="51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and each such hour</w:t>
      </w:r>
      <w:r>
        <w:t xml:space="preserve"> </w:t>
      </w:r>
      <w:r>
        <w:t xml:space="preserve">costs the no-load fuel of a whole extra turbine. In case 3 the optimiser</w:t>
      </w:r>
      <w:r>
        <w:t xml:space="preserve"> </w:t>
      </w:r>
      <w:r>
        <w:t xml:space="preserve">postpones water injection in exactly these hours, so a second GT runs in</w:t>
      </w:r>
      <w:r>
        <w:t xml:space="preserve"> </w:t>
      </w:r>
      <w:r>
        <w:t xml:space="preserve">only 30 h of the year (Fig. 4, Fig. 5).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29 (16–22 July 2023), the week with the median fuel saving. Top and middle: power supplied by GTs and wind with fixed (case 2) and flexible (case 3) demand. Bottom: production and injection rates." title="" id="43" name="Picture"/>
            <a:graphic>
              <a:graphicData uri="http://schemas.openxmlformats.org/drawingml/2006/picture">
                <pic:pic>
                  <pic:nvPicPr>
                    <pic:cNvPr descr="results/paper/fig05_example_week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29 (16–22 July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6" name="Picture"/>
            <a:graphic>
              <a:graphicData uri="http://schemas.openxmlformats.org/drawingml/2006/picture">
                <pic:pic>
                  <pic:nvPicPr>
                    <pic:cNvPr descr="results/paper/fig06_gt_load_dur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Injection follows the wind (Fig. 6). Its mean rises from 59 % of capacity in</w:t>
      </w:r>
      <w:r>
        <w:t xml:space="preserve"> </w:t>
      </w:r>
      <w:r>
        <w:t xml:space="preserve">the calmest hours to 98–99 % when more than 16 MW of wind is available</w:t>
      </w:r>
      <w:r>
        <w:t xml:space="preserve"> </w:t>
      </w:r>
      <w:r>
        <w:t xml:space="preserve">(r = 0.61). It is below its 85 % target in 2,597 h and stopped in 178 h, and</w:t>
      </w:r>
      <w:r>
        <w:t xml:space="preserve"> </w:t>
      </w:r>
      <w:r>
        <w:t xml:space="preserve">over the year it averages 84.9 %, so the voidage target is met. The deficit</w:t>
      </w:r>
      <w:r>
        <w:t xml:space="preserve"> </w:t>
      </w:r>
      <w:r>
        <w:t xml:space="preserve">averages 7.5 h of full-rate injection and never exceeds 25.2 h, well within</w:t>
      </w:r>
      <w:r>
        <w:t xml:space="preserve"> </w:t>
      </w:r>
      <w:r>
        <w:t xml:space="preserve">the 72 h allowed; 6.3 h remain to be caught up at the end of the year.</w:t>
      </w:r>
      <w:r>
        <w:t xml:space="preserve"> </w:t>
      </w:r>
      <w:r>
        <w:t xml:space="preserve">Production is never reduced. One hour at 50 % rate would lose oil and gas</w:t>
      </w:r>
      <w:r>
        <w:t xml:space="preserve"> </w:t>
      </w:r>
      <w:r>
        <w:t xml:space="preserve">worth about 1.5 MNOK, while the fuel and CO2 saved are worth a few thousand</w:t>
      </w:r>
      <w:r>
        <w:t xml:space="preserve"> </w:t>
      </w:r>
      <w:r>
        <w:t xml:space="preserve">NOK. The saving from flexibility is present in every month</w:t>
      </w:r>
      <w:r>
        <w:t xml:space="preserve"> </w:t>
      </w:r>
      <w:r>
        <w:t xml:space="preserve">(0.42–0.76 kt/month, Fig. S3).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49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1"/>
    <w:bookmarkStart w:id="55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NOK/Sm³, emissions change by less than 0.1 %. The</w:t>
      </w:r>
      <w:r>
        <w:t xml:space="preserve"> </w:t>
      </w:r>
      <w:r>
        <w:t xml:space="preserve">injection schedule is driven by fuel savings that are worthwhile at any</w:t>
      </w:r>
      <w:r>
        <w:t xml:space="preserve"> </w:t>
      </w:r>
      <w:r>
        <w:t xml:space="preserve">price, and production is never shed.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</w:t>
      </w:r>
      <w:r>
        <w:t xml:space="preserve"> </w:t>
      </w:r>
      <w:r>
        <w:t xml:space="preserve">equals case 2. A deficit limit of 24 h already gives the full saving.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to 60 MW</w:t>
      </w:r>
      <w:r>
        <w:t xml:space="preserve"> </w:t>
      </w:r>
      <w:r>
        <w:t xml:space="preserve">lowers case 3 emissions only from 57.6 to 50.9 kt, because one GT must stay</w:t>
      </w:r>
      <w:r>
        <w:t xml:space="preserve"> </w:t>
      </w:r>
      <w:r>
        <w:t xml:space="preserve">online. The value of flexibility is largest for the base-case farm</w:t>
      </w:r>
      <w:r>
        <w:t xml:space="preserve"> </w:t>
      </w:r>
      <w:r>
        <w:t xml:space="preserve">(7.1 kt) and smaller for a 15 MW farm (5.5 kt).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Batteries add little on their own</w:t>
      </w:r>
      <w:r>
        <w:t xml:space="preserve">, at most 2 % (8 MW / 16 MWh).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reserve and grid stability so that all GTs may stop, emissions</w:t>
      </w:r>
      <w:r>
        <w:t xml:space="preserve"> </w:t>
      </w:r>
      <w:r>
        <w:t xml:space="preserve">fall to 38.7 kt, 32 % below the same case with one GT online.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(case 2) and 87.7 kt</w:t>
      </w:r>
      <w:r>
        <w:t xml:space="preserve"> </w:t>
      </w:r>
      <w:r>
        <w:t xml:space="preserve">(case 3), and flexibility saves only 3.1 kt.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3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5"/>
    <w:bookmarkStart w:id="59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[19,22]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strongest check is the CO2 avoided per MWh of</w:t>
      </w:r>
      <w:r>
        <w:t xml:space="preserve"> </w:t>
      </w:r>
      <w:r>
        <w:t xml:space="preserve">wind, because it tests the wind, part-load fuel, CO2 factor and scheduling</w:t>
      </w:r>
      <w:r>
        <w:t xml:space="preserve"> </w:t>
      </w:r>
      <w:r>
        <w:t xml:space="preserve">together. When the model keeps two GTs online and only lowers their load, as</w:t>
      </w:r>
      <w:r>
        <w:t xml:space="preserve"> </w:t>
      </w:r>
      <w:r>
        <w:t xml:space="preserve">assumed in the Hywind Tampen estimate, it avoids 0.51 t/MWh against the</w:t>
      </w:r>
      <w:r>
        <w:t xml:space="preserve"> </w:t>
      </w:r>
      <w:r>
        <w:t xml:space="preserve">published 0.52 t/MWh. When a GT may stop in windy hours, it avoids</w:t>
      </w:r>
      <w:r>
        <w:t xml:space="preserve"> </w:t>
      </w:r>
      <w:r>
        <w:t xml:space="preserve">0.71 t/MWh, because the no-load fuel of the stopped unit is saved as well.</w:t>
      </w:r>
    </w:p>
    <w:p>
      <w:pPr>
        <w:pStyle w:val="BodyText"/>
      </w:pPr>
      <w:r>
        <w:t xml:space="preserve">The field data support the fuel and emission model (Fig. 8, right). Gullfaks</w:t>
      </w:r>
      <w:r>
        <w:t xml:space="preserve"> </w:t>
      </w:r>
      <w:r>
        <w:t xml:space="preserve">emits 2.32–2.40 kg CO2 per Sm³ of fuel gas, consistent with the 2.34 kg/Sm³</w:t>
      </w:r>
      <w:r>
        <w:t xml:space="preserve"> </w:t>
      </w:r>
      <w:r>
        <w:t xml:space="preserve">used here. After Hywind Tampen started supplying power, fuel gas use fell by</w:t>
      </w:r>
      <w:r>
        <w:t xml:space="preserve"> </w:t>
      </w:r>
      <w:r>
        <w:t xml:space="preserve">30 % at Gullfaks (2021–2023) and 11 % at Snorre (2021–2024), while it was</w:t>
      </w:r>
      <w:r>
        <w:t xml:space="preserve"> </w:t>
      </w:r>
      <w:r>
        <w:t xml:space="preserve">unchanged at Statfjord, which receives no wind power; production also</w:t>
      </w:r>
      <w:r>
        <w:t xml:space="preserve"> </w:t>
      </w:r>
      <w:r>
        <w:t xml:space="preserve">declined, so not all of this is due to the wind farm. The model’s CO2</w:t>
      </w:r>
      <w:r>
        <w:t xml:space="preserve"> </w:t>
      </w:r>
      <w:r>
        <w:t xml:space="preserve">intensity is lower than the field and shelf values because it covers only</w:t>
      </w:r>
      <w:r>
        <w:t xml:space="preserve"> </w:t>
      </w:r>
      <w:r>
        <w:t xml:space="preserve">power generation on an efficient platform at plateau rate, whereas the field</w:t>
      </w:r>
      <w:r>
        <w:t xml:space="preserve"> </w:t>
      </w:r>
      <w:r>
        <w:t xml:space="preserve">values include flaring, diesel, gas re-injection and the lower production of</w:t>
      </w:r>
      <w:r>
        <w:t xml:space="preserve"> </w:t>
      </w:r>
      <w:r>
        <w:t xml:space="preserve">mature fields.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7" name="Picture"/>
            <a:graphic>
              <a:graphicData uri="http://schemas.openxmlformats.org/drawingml/2006/picture">
                <pic:pic>
                  <pic:nvPicPr>
                    <pic:cNvPr descr="results/paper/fig10_valida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9"/>
    <w:bookmarkEnd w:id="60"/>
    <w:bookmarkStart w:id="64" w:name="discussion"/>
    <w:p>
      <w:pPr>
        <w:pStyle w:val="Heading2"/>
      </w:pPr>
      <w:r>
        <w:t xml:space="preserve">4 Discussion</w:t>
      </w:r>
    </w:p>
    <w:bookmarkStart w:id="61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costs a large share of its full-load fuel, so the expensive hours are</w:t>
      </w:r>
      <w:r>
        <w:t xml:space="preserve"> </w:t>
      </w:r>
      <w:r>
        <w:t xml:space="preserve">those in which the wind is just too weak for one turbine to carry the load</w:t>
      </w:r>
      <w:r>
        <w:t xml:space="preserve"> </w:t>
      </w:r>
      <w:r>
        <w:t xml:space="preserve">with reserve. Deferring water injection in these hours keeps the second</w:t>
      </w:r>
      <w:r>
        <w:t xml:space="preserve"> </w:t>
      </w:r>
      <w:r>
        <w:t xml:space="preserve">turbine off. This explains three results: most of the saving comes from</w:t>
      </w:r>
      <w:r>
        <w:t xml:space="preserve"> </w:t>
      </w:r>
      <w:r>
        <w:t xml:space="preserve">1,672 avoided hours with two GTs online; a deficit capacity of about one day</w:t>
      </w:r>
      <w:r>
        <w:t xml:space="preserve"> </w:t>
      </w:r>
      <w:r>
        <w:t xml:space="preserve">captures it all, because these hours occur in short spells; and the saving</w:t>
      </w:r>
      <w:r>
        <w:t xml:space="preserve"> </w:t>
      </w:r>
      <w:r>
        <w:t xml:space="preserve">disappears when operating rules keep two GTs online anyway. Energy shifting</w:t>
      </w:r>
      <w:r>
        <w:t xml:space="preserve"> </w:t>
      </w:r>
      <w:r>
        <w:t xml:space="preserve">alone, by contrast, is limited: curtailment falls by only 13 %, because one</w:t>
      </w:r>
      <w:r>
        <w:t xml:space="preserve"> </w:t>
      </w:r>
      <w:r>
        <w:t xml:space="preserve">GT must stay online and a 30 MW wind farm often exceeds what the platform</w:t>
      </w:r>
      <w:r>
        <w:t xml:space="preserve"> </w:t>
      </w:r>
      <w:r>
        <w:t xml:space="preserve">can use.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The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[8].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mechanism.</w:t>
      </w:r>
    </w:p>
    <w:bookmarkEnd w:id="61"/>
    <w:bookmarkStart w:id="62" w:name="implications-for-operators"/>
    <w:p>
      <w:pPr>
        <w:pStyle w:val="Heading3"/>
      </w:pPr>
      <w:r>
        <w:t xml:space="preserve">4.2 Implications for operators</w:t>
      </w:r>
    </w:p>
    <w:p>
      <w:pPr>
        <w:pStyle w:val="FirstParagraph"/>
      </w:pPr>
      <w:r>
        <w:t xml:space="preserve">Three implications follow. First, the flexibility already exists on most oil</w:t>
      </w:r>
      <w:r>
        <w:t xml:space="preserve"> </w:t>
      </w:r>
      <w:r>
        <w:t xml:space="preserve">platforms with water injection and can be used without investment, although</w:t>
      </w:r>
      <w:r>
        <w:t xml:space="preserve"> </w:t>
      </w:r>
      <w:r>
        <w:t xml:space="preserve">the control system must coordinate injection with the power plant. Second,</w:t>
      </w:r>
      <w:r>
        <w:t xml:space="preserve"> </w:t>
      </w:r>
      <w:r>
        <w:t xml:space="preserve">the reservoir requirement is modest: about 24 h of injection deferral,</w:t>
      </w:r>
      <w:r>
        <w:t xml:space="preserve"> </w:t>
      </w:r>
      <w:r>
        <w:t xml:space="preserve">averaging 7.5 h, is a small change compared with the time scale of</w:t>
      </w:r>
      <w:r>
        <w:t xml:space="preserve"> </w:t>
      </w:r>
      <w:r>
        <w:t xml:space="preserve">reservoir pressure support. It should nevertheless be confirmed with</w:t>
      </w:r>
      <w:r>
        <w:t xml:space="preserve"> </w:t>
      </w:r>
      <w:r>
        <w:t xml:space="preserve">reservoir engineers for each field. Third, the result does not depend on the</w:t>
      </w:r>
      <w:r>
        <w:t xml:space="preserve"> </w:t>
      </w:r>
      <w:r>
        <w:t xml:space="preserve">carbon price, because the fuel saved has value on its own. Operating</w:t>
      </w:r>
      <w:r>
        <w:t xml:space="preserve"> </w:t>
      </w:r>
      <w:r>
        <w:t xml:space="preserve">practice, notably how many GTs must be online and what counts as reserve,</w:t>
      </w:r>
      <w:r>
        <w:t xml:space="preserve"> </w:t>
      </w:r>
      <w:r>
        <w:t xml:space="preserve">has a larger effect on emissions than any price or the battery size, and</w:t>
      </w:r>
      <w:r>
        <w:t xml:space="preserve"> </w:t>
      </w:r>
      <w:r>
        <w:t xml:space="preserve">deserves the same attention as the choice of wind farm.</w:t>
      </w:r>
    </w:p>
    <w:bookmarkEnd w:id="62"/>
    <w:bookmarkStart w:id="63" w:name="limitations"/>
    <w:p>
      <w:pPr>
        <w:pStyle w:val="Heading3"/>
      </w:pPr>
      <w:r>
        <w:t xml:space="preserve">4.3 Limitations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 sensitivity</w:t>
      </w:r>
      <w:r>
        <w:t xml:space="preserve"> </w:t>
      </w:r>
      <w:r>
        <w:t xml:space="preserve">analysis shows that the result is robust to the deficit limit. The process is</w:t>
      </w:r>
      <w:r>
        <w:t xml:space="preserve"> </w:t>
      </w:r>
      <w:r>
        <w:t xml:space="preserve">represented by steady states; transient compressor behaviour, start-up</w:t>
      </w:r>
      <w:r>
        <w:t xml:space="preserve"> </w:t>
      </w:r>
      <w:r>
        <w:t xml:space="preserve">times of pumps and GTs beyond the start cost, and the reservoir response to</w:t>
      </w:r>
      <w:r>
        <w:t xml:space="preserve"> </w:t>
      </w:r>
      <w:r>
        <w:t xml:space="preserve">deferred injection are not modelled. The scheduler has perfect foresight of</w:t>
      </w:r>
      <w:r>
        <w:t xml:space="preserve"> </w:t>
      </w:r>
      <w:r>
        <w:t xml:space="preserve">wind within each week, so the savings are an upper bound for real operation</w:t>
      </w:r>
      <w:r>
        <w:t xml:space="preserve"> </w:t>
      </w:r>
      <w:r>
        <w:t xml:space="preserve">with forecast errors. The analysis covers one weather year and a single</w:t>
      </w:r>
      <w:r>
        <w:t xml:space="preserve"> </w:t>
      </w:r>
      <w:r>
        <w:t xml:space="preserve">platform without power import or export. Investment costs are outside the</w:t>
      </w:r>
      <w:r>
        <w:t xml:space="preserve"> </w:t>
      </w:r>
      <w:r>
        <w:t xml:space="preserve">scope, so the results show the operational value of flexibility but not the</w:t>
      </w:r>
      <w:r>
        <w:t xml:space="preserve"> </w:t>
      </w:r>
      <w:r>
        <w:t xml:space="preserve">cost per tonne of CO2 avoided. Finally, the small GT in the fleet</w:t>
      </w:r>
      <w:r>
        <w:t xml:space="preserve"> </w:t>
      </w:r>
      <w:r>
        <w:t xml:space="preserve">sensitivity relies on unverified performance data.</w:t>
      </w:r>
    </w:p>
    <w:bookmarkEnd w:id="63"/>
    <w:bookmarkEnd w:id="64"/>
    <w:bookmarkStart w:id="65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for one year. The main</w:t>
      </w:r>
      <w:r>
        <w:t xml:space="preserve"> </w:t>
      </w:r>
      <w:r>
        <w:t xml:space="preserve">conclusions are:</w:t>
      </w:r>
    </w:p>
    <w:p>
      <w:pPr>
        <w:numPr>
          <w:ilvl w:val="0"/>
          <w:numId w:val="1008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8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(7.1 kt/yr) without lost production. GT low-load hours fall by 34 % and GT</w:t>
      </w:r>
      <w:r>
        <w:t xml:space="preserve"> </w:t>
      </w:r>
      <w:r>
        <w:t xml:space="preserve">starts nearly disappear.</w:t>
      </w:r>
    </w:p>
    <w:p>
      <w:pPr>
        <w:numPr>
          <w:ilvl w:val="0"/>
          <w:numId w:val="1008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8"/>
        </w:numPr>
        <w:pStyle w:val="Compact"/>
      </w:pPr>
      <w:r>
        <w:t xml:space="preserve">The saving comes from avoiding a second running gas turbine. It therefore</w:t>
      </w:r>
      <w:r>
        <w:t xml:space="preserve"> </w:t>
      </w:r>
      <w:r>
        <w:t xml:space="preserve">depends on operating practice: keeping two GTs online removes most of it,</w:t>
      </w:r>
      <w:r>
        <w:t xml:space="preserve"> </w:t>
      </w:r>
      <w:r>
        <w:t xml:space="preserve">while allowing all GTs to stop, with a battery providing reserve, would</w:t>
      </w:r>
      <w:r>
        <w:t xml:space="preserve"> </w:t>
      </w:r>
      <w:r>
        <w:t xml:space="preserve">reduce emissions by a further third.</w:t>
      </w:r>
    </w:p>
    <w:p>
      <w:pPr>
        <w:numPr>
          <w:ilvl w:val="0"/>
          <w:numId w:val="1008"/>
        </w:numPr>
        <w:pStyle w:val="Compact"/>
      </w:pPr>
      <w:r>
        <w:t xml:space="preserve">Carbon price, gas price and battery size alone have little effect.</w:t>
      </w:r>
    </w:p>
    <w:p>
      <w:pPr>
        <w:numPr>
          <w:ilvl w:val="0"/>
          <w:numId w:val="1008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2 %.</w:t>
      </w:r>
    </w:p>
    <w:p>
      <w:pPr>
        <w:pStyle w:val="FirstParagraph"/>
      </w:pPr>
      <w:r>
        <w:t xml:space="preserve">Future work should test the approach with wind forecast errors, several</w:t>
      </w:r>
      <w:r>
        <w:t xml:space="preserve"> </w:t>
      </w:r>
      <w:r>
        <w:t xml:space="preserve">weather years and real platform data, and add investment costs to evaluate</w:t>
      </w:r>
      <w:r>
        <w:t xml:space="preserve"> </w:t>
      </w:r>
      <w:r>
        <w:t xml:space="preserve">the cost of CO2 abatement.</w:t>
      </w:r>
    </w:p>
    <w:bookmarkEnd w:id="65"/>
    <w:bookmarkStart w:id="66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(2023). [Funding.]</w:t>
      </w:r>
    </w:p>
    <w:bookmarkEnd w:id="66"/>
    <w:bookmarkStart w:id="6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[4]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[5]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[6]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[7]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[8]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[9]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[10]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[11]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[12]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[13]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[14]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[15]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[16]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[17]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[18]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[19]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[20]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[21]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[22]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[23]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[24] Norwegian Offshore Wind. Hywind Tampen capacity factor, first quarter 2025 [news item]. 2025.</w:t>
      </w:r>
    </w:p>
    <w:p>
      <w:pPr>
        <w:pStyle w:val="BodyText"/>
      </w:pPr>
      <w:r>
        <w:t xml:space="preserve">[25] Westwood Global Energy Group. Analysis of electrification and emissions on the Norwegian continental shelf. 2022.</w:t>
      </w:r>
    </w:p>
    <w:p>
      <w:pPr>
        <w:pStyle w:val="BodyText"/>
      </w:pPr>
      <w:r>
        <w:t xml:space="preserve">[26]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[27] Norwegian Offshore Directorate. FactPages – field production, yearly. https://factpages.sodir.no [accessed DATE].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2026-10-26T21:18:23Z</dcterms:created>
  <dcterms:modified xsi:type="dcterms:W3CDTF">2026-10-26T21:18:23Z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